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eastAsia="zh-CN"/>
        </w:rPr>
        <w:t>附件</w:t>
      </w:r>
      <w:r>
        <w:rPr>
          <w:rFonts w:hint="eastAsia" w:ascii="黑体" w:hAnsi="黑体" w:eastAsia="黑体" w:cs="黑体"/>
          <w:b w:val="0"/>
          <w:bCs/>
          <w:color w:val="000000"/>
          <w:kern w:val="0"/>
          <w:sz w:val="32"/>
          <w:szCs w:val="32"/>
          <w:lang w:val="en-US" w:eastAsia="zh-CN"/>
        </w:rPr>
        <w:t>1</w:t>
      </w:r>
    </w:p>
    <w:p>
      <w:pPr>
        <w:widowControl/>
        <w:jc w:val="center"/>
        <w:rPr>
          <w:rFonts w:hint="eastAsia" w:ascii="方正小标宋简体" w:hAnsi="方正小标宋简体" w:eastAsia="方正小标宋简体" w:cs="方正小标宋简体"/>
          <w:b w:val="0"/>
          <w:bCs/>
          <w:color w:val="000000"/>
          <w:kern w:val="0"/>
          <w:sz w:val="32"/>
          <w:szCs w:val="32"/>
          <w:lang w:val="en-US" w:eastAsia="zh-CN"/>
        </w:rPr>
      </w:pPr>
      <w:r>
        <w:rPr>
          <w:rFonts w:hint="eastAsia" w:ascii="方正小标宋简体" w:hAnsi="方正小标宋简体" w:eastAsia="方正小标宋简体" w:cs="方正小标宋简体"/>
          <w:b w:val="0"/>
          <w:bCs/>
          <w:color w:val="000000"/>
          <w:kern w:val="0"/>
          <w:sz w:val="40"/>
          <w:szCs w:val="40"/>
        </w:rPr>
        <w:t>常德市卫生健康领域首次轻微违法行为免罚清单</w:t>
      </w:r>
      <w:r>
        <w:rPr>
          <w:rFonts w:hint="eastAsia" w:ascii="方正小标宋简体" w:hAnsi="方正小标宋简体" w:eastAsia="方正小标宋简体" w:cs="方正小标宋简体"/>
          <w:b w:val="0"/>
          <w:bCs/>
          <w:color w:val="000000"/>
          <w:kern w:val="0"/>
          <w:sz w:val="40"/>
          <w:szCs w:val="40"/>
          <w:lang w:eastAsia="zh-CN"/>
        </w:rPr>
        <w:t>（</w:t>
      </w:r>
      <w:r>
        <w:rPr>
          <w:rFonts w:hint="eastAsia" w:ascii="方正小标宋简体" w:hAnsi="方正小标宋简体" w:eastAsia="方正小标宋简体" w:cs="方正小标宋简体"/>
          <w:b w:val="0"/>
          <w:bCs/>
          <w:color w:val="000000"/>
          <w:kern w:val="0"/>
          <w:sz w:val="40"/>
          <w:szCs w:val="40"/>
          <w:lang w:val="en-US" w:eastAsia="zh-CN"/>
        </w:rPr>
        <w:t>第二批）</w:t>
      </w:r>
    </w:p>
    <w:tbl>
      <w:tblPr>
        <w:tblStyle w:val="4"/>
        <w:tblW w:w="14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768"/>
        <w:gridCol w:w="6300"/>
        <w:gridCol w:w="1759"/>
        <w:gridCol w:w="3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95" w:type="dxa"/>
            <w:vAlign w:val="center"/>
          </w:tcPr>
          <w:p>
            <w:pPr>
              <w:widowControl/>
              <w:jc w:val="center"/>
              <w:rPr>
                <w:vertAlign w:val="baseline"/>
              </w:rPr>
            </w:pPr>
            <w:r>
              <w:rPr>
                <w:rFonts w:hint="eastAsia" w:ascii="仿宋_GB2312" w:hAnsi="宋体" w:eastAsia="仿宋_GB2312" w:cs="仿宋_GB2312"/>
                <w:b/>
                <w:color w:val="000000"/>
                <w:kern w:val="0"/>
                <w:sz w:val="24"/>
              </w:rPr>
              <w:t>序号</w:t>
            </w:r>
          </w:p>
        </w:tc>
        <w:tc>
          <w:tcPr>
            <w:tcW w:w="2768" w:type="dxa"/>
            <w:vAlign w:val="center"/>
          </w:tcPr>
          <w:p>
            <w:pPr>
              <w:widowControl/>
              <w:jc w:val="center"/>
              <w:rPr>
                <w:vertAlign w:val="baseline"/>
              </w:rPr>
            </w:pPr>
            <w:r>
              <w:rPr>
                <w:rFonts w:hint="eastAsia" w:ascii="仿宋_GB2312" w:hAnsi="宋体" w:eastAsia="仿宋_GB2312" w:cs="仿宋_GB2312"/>
                <w:b/>
                <w:color w:val="000000"/>
                <w:kern w:val="0"/>
                <w:sz w:val="24"/>
              </w:rPr>
              <w:t>事项名称</w:t>
            </w:r>
          </w:p>
        </w:tc>
        <w:tc>
          <w:tcPr>
            <w:tcW w:w="6300" w:type="dxa"/>
            <w:vAlign w:val="center"/>
          </w:tcPr>
          <w:p>
            <w:pPr>
              <w:widowControl/>
              <w:jc w:val="center"/>
              <w:rPr>
                <w:vertAlign w:val="baseline"/>
              </w:rPr>
            </w:pPr>
            <w:r>
              <w:rPr>
                <w:rFonts w:hint="eastAsia" w:ascii="仿宋_GB2312" w:hAnsi="宋体" w:eastAsia="仿宋_GB2312" w:cs="仿宋_GB2312"/>
                <w:b/>
                <w:color w:val="000000"/>
                <w:kern w:val="0"/>
                <w:sz w:val="24"/>
              </w:rPr>
              <w:t>实施依据</w:t>
            </w:r>
          </w:p>
        </w:tc>
        <w:tc>
          <w:tcPr>
            <w:tcW w:w="1759" w:type="dxa"/>
            <w:vAlign w:val="center"/>
          </w:tcPr>
          <w:p>
            <w:pPr>
              <w:widowControl/>
              <w:jc w:val="center"/>
              <w:rPr>
                <w:vertAlign w:val="baseline"/>
              </w:rPr>
            </w:pPr>
            <w:r>
              <w:rPr>
                <w:rFonts w:hint="eastAsia" w:ascii="仿宋_GB2312" w:hAnsi="宋体" w:eastAsia="仿宋_GB2312" w:cs="仿宋_GB2312"/>
                <w:b/>
                <w:color w:val="000000"/>
                <w:kern w:val="0"/>
                <w:sz w:val="24"/>
              </w:rPr>
              <w:t>免罚情形</w:t>
            </w:r>
          </w:p>
        </w:tc>
        <w:tc>
          <w:tcPr>
            <w:tcW w:w="3016" w:type="dxa"/>
            <w:vAlign w:val="center"/>
          </w:tcPr>
          <w:p>
            <w:pPr>
              <w:widowControl/>
              <w:jc w:val="center"/>
              <w:rPr>
                <w:vertAlign w:val="baseline"/>
              </w:rPr>
            </w:pPr>
            <w:r>
              <w:rPr>
                <w:rFonts w:hint="eastAsia" w:ascii="仿宋_GB2312" w:hAnsi="宋体" w:eastAsia="仿宋_GB2312" w:cs="仿宋_GB2312"/>
                <w:b/>
                <w:color w:val="000000"/>
                <w:kern w:val="0"/>
                <w:sz w:val="24"/>
              </w:rPr>
              <w:t>适用条件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2" w:hRule="atLeast"/>
        </w:trPr>
        <w:tc>
          <w:tcPr>
            <w:tcW w:w="795" w:type="dxa"/>
            <w:vAlign w:val="center"/>
          </w:tcPr>
          <w:p>
            <w:pPr>
              <w:widowControl/>
              <w:jc w:val="center"/>
              <w:rPr>
                <w:vertAlign w:val="baseline"/>
              </w:rPr>
            </w:pPr>
            <w:r>
              <w:rPr>
                <w:rFonts w:hint="eastAsia" w:ascii="仿宋_GB2312" w:hAnsi="宋体" w:eastAsia="仿宋_GB2312" w:cs="仿宋_GB2312"/>
                <w:color w:val="000000"/>
                <w:kern w:val="0"/>
                <w:sz w:val="20"/>
                <w:szCs w:val="20"/>
                <w:lang w:val="en-US" w:eastAsia="zh-CN"/>
              </w:rPr>
              <w:t>1</w:t>
            </w:r>
          </w:p>
        </w:tc>
        <w:tc>
          <w:tcPr>
            <w:tcW w:w="2768" w:type="dxa"/>
            <w:vAlign w:val="center"/>
          </w:tcPr>
          <w:p>
            <w:pPr>
              <w:widowControl/>
              <w:jc w:val="left"/>
              <w:rPr>
                <w:rFonts w:hint="default"/>
                <w:vertAlign w:val="baseline"/>
                <w:lang w:val="en-US"/>
              </w:rPr>
            </w:pPr>
            <w:r>
              <w:rPr>
                <w:rFonts w:hint="eastAsia" w:ascii="仿宋_GB2312" w:hAnsi="宋体" w:eastAsia="仿宋_GB2312" w:cs="仿宋_GB2312"/>
                <w:color w:val="000000"/>
                <w:kern w:val="0"/>
                <w:sz w:val="20"/>
                <w:szCs w:val="20"/>
                <w:lang w:val="en-US" w:eastAsia="zh-CN"/>
              </w:rPr>
              <w:t>对</w:t>
            </w:r>
            <w:r>
              <w:rPr>
                <w:rFonts w:hint="default" w:ascii="仿宋_GB2312" w:hAnsi="宋体" w:eastAsia="仿宋_GB2312" w:cs="仿宋_GB2312"/>
                <w:color w:val="000000"/>
                <w:kern w:val="0"/>
                <w:sz w:val="20"/>
                <w:szCs w:val="20"/>
                <w:lang w:val="en-US" w:eastAsia="zh-CN"/>
              </w:rPr>
              <w:t>医疗器械使用单位未依照本条例规定建立并执行医疗器械进货查验记录制度</w:t>
            </w:r>
            <w:r>
              <w:rPr>
                <w:rFonts w:hint="eastAsia" w:ascii="仿宋_GB2312" w:hAnsi="宋体" w:eastAsia="仿宋_GB2312" w:cs="仿宋_GB2312"/>
                <w:color w:val="000000"/>
                <w:kern w:val="0"/>
                <w:sz w:val="20"/>
                <w:szCs w:val="20"/>
                <w:lang w:val="en-US" w:eastAsia="zh-CN"/>
              </w:rPr>
              <w:t>的处罚</w:t>
            </w:r>
          </w:p>
        </w:tc>
        <w:tc>
          <w:tcPr>
            <w:tcW w:w="6300" w:type="dxa"/>
            <w:vAlign w:val="center"/>
          </w:tcPr>
          <w:p>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hint="eastAsia" w:ascii="仿宋_GB2312" w:hAnsi="宋体" w:eastAsia="仿宋_GB2312" w:cs="仿宋_GB2312"/>
                <w:color w:val="000000"/>
                <w:kern w:val="0"/>
                <w:sz w:val="20"/>
                <w:szCs w:val="20"/>
                <w:lang w:val="en-US" w:eastAsia="zh-CN"/>
              </w:rPr>
            </w:pPr>
            <w:r>
              <w:rPr>
                <w:rFonts w:hint="default" w:ascii="仿宋_GB2312" w:hAnsi="宋体" w:eastAsia="仿宋_GB2312" w:cs="仿宋_GB2312"/>
                <w:color w:val="000000"/>
                <w:kern w:val="0"/>
                <w:sz w:val="20"/>
                <w:szCs w:val="20"/>
                <w:lang w:val="en-US" w:eastAsia="zh-CN"/>
              </w:rPr>
              <w:t>《医疗器械监督管理条例》第八十九条</w:t>
            </w:r>
            <w:r>
              <w:rPr>
                <w:rFonts w:hint="eastAsia" w:ascii="仿宋_GB2312" w:hAnsi="宋体" w:eastAsia="仿宋_GB2312" w:cs="仿宋_GB2312"/>
                <w:color w:val="000000"/>
                <w:kern w:val="0"/>
                <w:sz w:val="20"/>
                <w:szCs w:val="20"/>
                <w:lang w:val="en-US" w:eastAsia="zh-CN"/>
              </w:rPr>
              <w:t>第（三）项：医疗器械经营企业、使用单位未依照本条例规定建立并执行医疗器械进货查验记录制度。</w:t>
            </w:r>
          </w:p>
          <w:p>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hint="default"/>
                <w:vertAlign w:val="baseline"/>
                <w:lang w:val="en-US"/>
              </w:rPr>
            </w:pPr>
            <w:r>
              <w:rPr>
                <w:rFonts w:hint="eastAsia" w:ascii="仿宋_GB2312" w:hAnsi="宋体" w:eastAsia="仿宋_GB2312" w:cs="仿宋_GB2312"/>
                <w:color w:val="000000"/>
                <w:kern w:val="0"/>
                <w:sz w:val="20"/>
                <w:szCs w:val="20"/>
                <w:lang w:val="en-US" w:eastAsia="zh-CN"/>
              </w:rPr>
              <w:t>罚则: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p>
        </w:tc>
        <w:tc>
          <w:tcPr>
            <w:tcW w:w="1759" w:type="dxa"/>
            <w:vAlign w:val="center"/>
          </w:tcPr>
          <w:p>
            <w:pPr>
              <w:widowControl/>
              <w:jc w:val="center"/>
              <w:rPr>
                <w:vertAlign w:val="baseline"/>
              </w:rPr>
            </w:pPr>
            <w:r>
              <w:rPr>
                <w:rFonts w:hint="eastAsia" w:ascii="仿宋_GB2312" w:hAnsi="宋体" w:eastAsia="仿宋_GB2312" w:cs="仿宋_GB2312"/>
                <w:color w:val="000000"/>
                <w:kern w:val="0"/>
                <w:sz w:val="20"/>
                <w:szCs w:val="20"/>
                <w:lang w:val="en-US" w:eastAsia="zh-CN"/>
              </w:rPr>
              <w:t>首违不罚</w:t>
            </w:r>
          </w:p>
        </w:tc>
        <w:tc>
          <w:tcPr>
            <w:tcW w:w="3016" w:type="dxa"/>
            <w:vAlign w:val="center"/>
          </w:tcPr>
          <w:p>
            <w:pPr>
              <w:widowControl/>
              <w:jc w:val="left"/>
              <w:rPr>
                <w:rFonts w:hint="eastAsia"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1.初次违法；</w:t>
            </w:r>
          </w:p>
          <w:p>
            <w:pPr>
              <w:widowControl/>
              <w:jc w:val="left"/>
              <w:rPr>
                <w:rFonts w:hint="eastAsia"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 xml:space="preserve">2.危害后果轻微；        </w:t>
            </w:r>
          </w:p>
          <w:p>
            <w:pPr>
              <w:widowControl/>
              <w:jc w:val="left"/>
              <w:rPr>
                <w:vertAlign w:val="baseline"/>
              </w:rPr>
            </w:pPr>
            <w:r>
              <w:rPr>
                <w:rFonts w:hint="eastAsia" w:ascii="仿宋_GB2312" w:hAnsi="宋体" w:eastAsia="仿宋_GB2312" w:cs="仿宋_GB2312"/>
                <w:color w:val="000000"/>
                <w:kern w:val="0"/>
                <w:sz w:val="20"/>
                <w:szCs w:val="20"/>
                <w:lang w:val="en-US" w:eastAsia="zh-CN"/>
              </w:rPr>
              <w:t>3.在规定期限内及时改正。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trPr>
        <w:tc>
          <w:tcPr>
            <w:tcW w:w="795" w:type="dxa"/>
            <w:vAlign w:val="center"/>
          </w:tcPr>
          <w:p>
            <w:pPr>
              <w:widowControl/>
              <w:jc w:val="center"/>
              <w:rPr>
                <w:vertAlign w:val="baseline"/>
              </w:rPr>
            </w:pPr>
            <w:r>
              <w:rPr>
                <w:rFonts w:hint="eastAsia" w:ascii="仿宋_GB2312" w:hAnsi="宋体" w:eastAsia="仿宋_GB2312" w:cs="仿宋_GB2312"/>
                <w:color w:val="000000"/>
                <w:kern w:val="0"/>
                <w:sz w:val="20"/>
                <w:szCs w:val="20"/>
                <w:lang w:val="en-US" w:eastAsia="zh-CN"/>
              </w:rPr>
              <w:t>2</w:t>
            </w:r>
          </w:p>
        </w:tc>
        <w:tc>
          <w:tcPr>
            <w:tcW w:w="2768" w:type="dxa"/>
            <w:vAlign w:val="center"/>
          </w:tcPr>
          <w:p>
            <w:pPr>
              <w:widowControl/>
              <w:jc w:val="left"/>
              <w:rPr>
                <w:vertAlign w:val="baseline"/>
              </w:rPr>
            </w:pPr>
            <w:r>
              <w:rPr>
                <w:rFonts w:hint="eastAsia" w:ascii="仿宋_GB2312" w:hAnsi="宋体" w:eastAsia="仿宋_GB2312" w:cs="仿宋_GB2312"/>
                <w:color w:val="000000"/>
                <w:kern w:val="0"/>
                <w:sz w:val="20"/>
                <w:szCs w:val="20"/>
                <w:lang w:val="en-US" w:eastAsia="zh-CN"/>
              </w:rPr>
              <w:t>对</w:t>
            </w:r>
            <w:r>
              <w:rPr>
                <w:rFonts w:hint="default" w:ascii="仿宋_GB2312" w:hAnsi="宋体" w:eastAsia="仿宋_GB2312" w:cs="仿宋_GB2312"/>
                <w:color w:val="000000"/>
                <w:kern w:val="0"/>
                <w:sz w:val="20"/>
                <w:szCs w:val="20"/>
                <w:lang w:val="en-US" w:eastAsia="zh-CN"/>
              </w:rPr>
              <w:t>未建立投诉接待制度、设置统一投诉管理部门或者配备专（兼）职人员</w:t>
            </w:r>
            <w:r>
              <w:rPr>
                <w:rFonts w:hint="eastAsia" w:ascii="仿宋_GB2312" w:hAnsi="宋体" w:eastAsia="仿宋_GB2312" w:cs="仿宋_GB2312"/>
                <w:color w:val="000000"/>
                <w:kern w:val="0"/>
                <w:sz w:val="20"/>
                <w:szCs w:val="20"/>
                <w:lang w:val="en-US" w:eastAsia="zh-CN"/>
              </w:rPr>
              <w:t>的处罚</w:t>
            </w:r>
          </w:p>
        </w:tc>
        <w:tc>
          <w:tcPr>
            <w:tcW w:w="6300" w:type="dxa"/>
            <w:vAlign w:val="center"/>
          </w:tcPr>
          <w:p>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hint="eastAsia" w:ascii="仿宋_GB2312" w:hAnsi="宋体" w:eastAsia="仿宋_GB2312" w:cs="仿宋_GB2312"/>
                <w:color w:val="000000"/>
                <w:kern w:val="0"/>
                <w:sz w:val="20"/>
                <w:szCs w:val="20"/>
                <w:lang w:val="en-US" w:eastAsia="zh-CN"/>
              </w:rPr>
            </w:pPr>
            <w:r>
              <w:rPr>
                <w:rFonts w:hint="default" w:ascii="仿宋_GB2312" w:hAnsi="宋体" w:eastAsia="仿宋_GB2312" w:cs="仿宋_GB2312"/>
                <w:color w:val="000000"/>
                <w:kern w:val="0"/>
                <w:sz w:val="20"/>
                <w:szCs w:val="20"/>
                <w:lang w:val="en-US" w:eastAsia="zh-CN"/>
              </w:rPr>
              <w:t>《医疗纠纷预防和处理条例》第四十七条第（六）项</w:t>
            </w:r>
            <w:r>
              <w:rPr>
                <w:rFonts w:hint="eastAsia" w:ascii="仿宋_GB2312" w:hAnsi="宋体" w:eastAsia="仿宋_GB2312" w:cs="仿宋_GB2312"/>
                <w:color w:val="000000"/>
                <w:kern w:val="0"/>
                <w:sz w:val="20"/>
                <w:szCs w:val="20"/>
                <w:lang w:val="en-US" w:eastAsia="zh-CN"/>
              </w:rPr>
              <w:t>：未建立投诉接待制度、设置统一投诉管理部门或者配备专（兼）职人员。</w:t>
            </w:r>
          </w:p>
          <w:p>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hint="default"/>
                <w:vertAlign w:val="baseline"/>
                <w:lang w:val="en-US"/>
              </w:rPr>
            </w:pPr>
            <w:r>
              <w:rPr>
                <w:rFonts w:hint="eastAsia" w:ascii="仿宋_GB2312" w:hAnsi="宋体" w:eastAsia="仿宋_GB2312" w:cs="仿宋_GB2312"/>
                <w:color w:val="000000"/>
                <w:kern w:val="0"/>
                <w:sz w:val="20"/>
                <w:szCs w:val="20"/>
                <w:lang w:val="en-US" w:eastAsia="zh-CN"/>
              </w:rPr>
              <w:t>罚则：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w:t>
            </w:r>
          </w:p>
        </w:tc>
        <w:tc>
          <w:tcPr>
            <w:tcW w:w="1759" w:type="dxa"/>
            <w:vAlign w:val="center"/>
          </w:tcPr>
          <w:p>
            <w:pPr>
              <w:widowControl/>
              <w:jc w:val="center"/>
              <w:rPr>
                <w:vertAlign w:val="baseline"/>
              </w:rPr>
            </w:pPr>
            <w:r>
              <w:rPr>
                <w:rFonts w:hint="eastAsia" w:ascii="仿宋_GB2312" w:hAnsi="宋体" w:eastAsia="仿宋_GB2312" w:cs="仿宋_GB2312"/>
                <w:color w:val="000000"/>
                <w:kern w:val="0"/>
                <w:sz w:val="20"/>
                <w:szCs w:val="20"/>
                <w:lang w:val="en-US" w:eastAsia="zh-CN"/>
              </w:rPr>
              <w:t>首违不罚</w:t>
            </w:r>
          </w:p>
        </w:tc>
        <w:tc>
          <w:tcPr>
            <w:tcW w:w="3016" w:type="dxa"/>
            <w:vAlign w:val="center"/>
          </w:tcPr>
          <w:p>
            <w:pPr>
              <w:widowControl/>
              <w:jc w:val="left"/>
              <w:rPr>
                <w:rFonts w:hint="eastAsia"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1.初次违法；</w:t>
            </w:r>
          </w:p>
          <w:p>
            <w:pPr>
              <w:widowControl/>
              <w:jc w:val="left"/>
              <w:rPr>
                <w:rFonts w:hint="eastAsia"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 xml:space="preserve">2.危害后果轻微；        </w:t>
            </w:r>
          </w:p>
          <w:p>
            <w:pPr>
              <w:widowControl/>
              <w:jc w:val="left"/>
              <w:rPr>
                <w:vertAlign w:val="baseline"/>
              </w:rPr>
            </w:pPr>
            <w:r>
              <w:rPr>
                <w:rFonts w:hint="eastAsia" w:ascii="仿宋_GB2312" w:hAnsi="宋体" w:eastAsia="仿宋_GB2312" w:cs="仿宋_GB2312"/>
                <w:color w:val="000000"/>
                <w:kern w:val="0"/>
                <w:sz w:val="20"/>
                <w:szCs w:val="20"/>
                <w:lang w:val="en-US" w:eastAsia="zh-CN"/>
              </w:rPr>
              <w:t>3.在规定期限内及时改正。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795" w:type="dxa"/>
            <w:vAlign w:val="center"/>
          </w:tcPr>
          <w:p>
            <w:pPr>
              <w:widowControl/>
              <w:jc w:val="center"/>
              <w:rPr>
                <w:vertAlign w:val="baseline"/>
              </w:rPr>
            </w:pPr>
            <w:r>
              <w:rPr>
                <w:rFonts w:hint="eastAsia" w:ascii="仿宋_GB2312" w:hAnsi="宋体" w:eastAsia="仿宋_GB2312" w:cs="仿宋_GB2312"/>
                <w:color w:val="000000"/>
                <w:kern w:val="0"/>
                <w:sz w:val="20"/>
                <w:szCs w:val="20"/>
                <w:lang w:val="en-US" w:eastAsia="zh-CN"/>
              </w:rPr>
              <w:t>3</w:t>
            </w:r>
          </w:p>
        </w:tc>
        <w:tc>
          <w:tcPr>
            <w:tcW w:w="2768" w:type="dxa"/>
            <w:vAlign w:val="center"/>
          </w:tcPr>
          <w:p>
            <w:pPr>
              <w:widowControl/>
              <w:jc w:val="left"/>
              <w:rPr>
                <w:vertAlign w:val="baseline"/>
              </w:rPr>
            </w:pPr>
            <w:r>
              <w:rPr>
                <w:rFonts w:hint="eastAsia" w:ascii="仿宋_GB2312" w:hAnsi="宋体" w:eastAsia="仿宋_GB2312" w:cs="仿宋_GB2312"/>
                <w:color w:val="000000"/>
                <w:kern w:val="0"/>
                <w:sz w:val="20"/>
                <w:szCs w:val="20"/>
                <w:lang w:val="en-US" w:eastAsia="zh-CN"/>
              </w:rPr>
              <w:t>对</w:t>
            </w:r>
            <w:r>
              <w:rPr>
                <w:rFonts w:hint="default" w:ascii="仿宋_GB2312" w:hAnsi="宋体" w:eastAsia="仿宋_GB2312" w:cs="仿宋_GB2312"/>
                <w:color w:val="000000"/>
                <w:kern w:val="0"/>
                <w:sz w:val="20"/>
                <w:szCs w:val="20"/>
                <w:lang w:val="en-US" w:eastAsia="zh-CN"/>
              </w:rPr>
              <w:t>未按照规定制定职业病防治计划和实施方案</w:t>
            </w:r>
            <w:r>
              <w:rPr>
                <w:rFonts w:hint="eastAsia" w:ascii="仿宋_GB2312" w:hAnsi="宋体" w:eastAsia="仿宋_GB2312" w:cs="仿宋_GB2312"/>
                <w:color w:val="000000"/>
                <w:kern w:val="0"/>
                <w:sz w:val="20"/>
                <w:szCs w:val="20"/>
                <w:lang w:val="en-US" w:eastAsia="zh-CN"/>
              </w:rPr>
              <w:t>的处罚</w:t>
            </w:r>
          </w:p>
        </w:tc>
        <w:tc>
          <w:tcPr>
            <w:tcW w:w="6300" w:type="dxa"/>
            <w:vAlign w:val="center"/>
          </w:tcPr>
          <w:p>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hint="default" w:ascii="仿宋_GB2312" w:hAnsi="宋体" w:eastAsia="仿宋_GB2312" w:cs="仿宋_GB2312"/>
                <w:color w:val="000000"/>
                <w:kern w:val="0"/>
                <w:sz w:val="20"/>
                <w:szCs w:val="20"/>
                <w:lang w:val="en-US" w:eastAsia="zh-CN"/>
              </w:rPr>
            </w:pPr>
            <w:r>
              <w:rPr>
                <w:rFonts w:hint="default" w:ascii="仿宋_GB2312" w:hAnsi="宋体" w:eastAsia="仿宋_GB2312" w:cs="仿宋_GB2312"/>
                <w:color w:val="000000"/>
                <w:kern w:val="0"/>
                <w:sz w:val="20"/>
                <w:szCs w:val="20"/>
                <w:lang w:val="en-US" w:eastAsia="zh-CN"/>
              </w:rPr>
              <w:t>《中华人民共和国职业病防治法》第七十条第（二）项</w:t>
            </w:r>
            <w:r>
              <w:rPr>
                <w:rFonts w:hint="eastAsia" w:ascii="仿宋_GB2312" w:hAnsi="宋体" w:eastAsia="仿宋_GB2312" w:cs="仿宋_GB2312"/>
                <w:color w:val="000000"/>
                <w:kern w:val="0"/>
                <w:sz w:val="20"/>
                <w:szCs w:val="20"/>
                <w:lang w:val="en-US" w:eastAsia="zh-CN"/>
              </w:rPr>
              <w:t>：</w:t>
            </w:r>
            <w:r>
              <w:rPr>
                <w:rFonts w:hint="default" w:ascii="仿宋_GB2312" w:hAnsi="宋体" w:eastAsia="仿宋_GB2312" w:cs="仿宋_GB2312"/>
                <w:color w:val="000000"/>
                <w:kern w:val="0"/>
                <w:sz w:val="20"/>
                <w:szCs w:val="20"/>
                <w:lang w:val="en-US" w:eastAsia="zh-CN"/>
              </w:rPr>
              <w:t>未采取本法第二十条规定的职业病防治管理措施的。</w:t>
            </w:r>
          </w:p>
          <w:p>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hint="default"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罚则:</w:t>
            </w:r>
            <w:r>
              <w:rPr>
                <w:rFonts w:hint="default" w:ascii="仿宋_GB2312" w:hAnsi="宋体" w:eastAsia="仿宋_GB2312" w:cs="仿宋_GB2312"/>
                <w:color w:val="000000"/>
                <w:kern w:val="0"/>
                <w:sz w:val="20"/>
                <w:szCs w:val="20"/>
                <w:lang w:val="en-US" w:eastAsia="zh-CN"/>
              </w:rPr>
              <w:t>由卫生行政部门给予警告，责令限期改正；逾期不改正的，处十万元以下的罚款</w:t>
            </w:r>
            <w:r>
              <w:rPr>
                <w:rFonts w:hint="eastAsia" w:ascii="仿宋_GB2312" w:hAnsi="宋体" w:eastAsia="仿宋_GB2312" w:cs="仿宋_GB2312"/>
                <w:color w:val="000000"/>
                <w:kern w:val="0"/>
                <w:sz w:val="20"/>
                <w:szCs w:val="20"/>
                <w:lang w:val="en-US" w:eastAsia="zh-CN"/>
              </w:rPr>
              <w:t>。</w:t>
            </w:r>
          </w:p>
        </w:tc>
        <w:tc>
          <w:tcPr>
            <w:tcW w:w="1759" w:type="dxa"/>
            <w:vAlign w:val="center"/>
          </w:tcPr>
          <w:p>
            <w:pPr>
              <w:widowControl/>
              <w:jc w:val="center"/>
              <w:rPr>
                <w:vertAlign w:val="baseline"/>
              </w:rPr>
            </w:pPr>
            <w:r>
              <w:rPr>
                <w:rFonts w:hint="eastAsia" w:ascii="仿宋_GB2312" w:hAnsi="宋体" w:eastAsia="仿宋_GB2312" w:cs="仿宋_GB2312"/>
                <w:color w:val="000000"/>
                <w:kern w:val="0"/>
                <w:sz w:val="20"/>
                <w:szCs w:val="20"/>
                <w:lang w:val="en-US" w:eastAsia="zh-CN"/>
              </w:rPr>
              <w:t>首违不罚</w:t>
            </w:r>
          </w:p>
        </w:tc>
        <w:tc>
          <w:tcPr>
            <w:tcW w:w="3016" w:type="dxa"/>
            <w:vAlign w:val="center"/>
          </w:tcPr>
          <w:p>
            <w:pPr>
              <w:widowControl/>
              <w:numPr>
                <w:ilvl w:val="0"/>
                <w:numId w:val="0"/>
              </w:numPr>
              <w:jc w:val="left"/>
              <w:rPr>
                <w:rFonts w:hint="eastAsia"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1.初次违法；</w:t>
            </w:r>
          </w:p>
          <w:p>
            <w:pPr>
              <w:widowControl/>
              <w:numPr>
                <w:ilvl w:val="0"/>
                <w:numId w:val="0"/>
              </w:numPr>
              <w:jc w:val="left"/>
              <w:rPr>
                <w:rFonts w:hint="eastAsia"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 xml:space="preserve">2.危害后果轻微；        </w:t>
            </w:r>
          </w:p>
          <w:p>
            <w:pPr>
              <w:widowControl/>
              <w:numPr>
                <w:ilvl w:val="0"/>
                <w:numId w:val="0"/>
              </w:numPr>
              <w:ind w:left="0" w:leftChars="0" w:firstLine="0" w:firstLineChars="0"/>
              <w:jc w:val="left"/>
              <w:rPr>
                <w:vertAlign w:val="baseline"/>
              </w:rPr>
            </w:pPr>
            <w:r>
              <w:rPr>
                <w:rFonts w:hint="eastAsia" w:ascii="仿宋_GB2312" w:hAnsi="宋体" w:eastAsia="仿宋_GB2312" w:cs="仿宋_GB2312"/>
                <w:color w:val="000000"/>
                <w:kern w:val="0"/>
                <w:sz w:val="20"/>
                <w:szCs w:val="20"/>
                <w:lang w:val="en-US" w:eastAsia="zh-CN"/>
              </w:rPr>
              <w:t>3.在规定期限内及时改正。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7" w:hRule="atLeast"/>
        </w:trPr>
        <w:tc>
          <w:tcPr>
            <w:tcW w:w="795" w:type="dxa"/>
            <w:vAlign w:val="center"/>
          </w:tcPr>
          <w:p>
            <w:pPr>
              <w:widowControl/>
              <w:jc w:val="center"/>
              <w:rPr>
                <w:vertAlign w:val="baseline"/>
              </w:rPr>
            </w:pPr>
            <w:r>
              <w:rPr>
                <w:rFonts w:hint="eastAsia" w:ascii="仿宋_GB2312" w:hAnsi="宋体" w:eastAsia="仿宋_GB2312" w:cs="仿宋_GB2312"/>
                <w:color w:val="000000"/>
                <w:kern w:val="0"/>
                <w:sz w:val="20"/>
                <w:szCs w:val="20"/>
                <w:lang w:val="en-US" w:eastAsia="zh-CN"/>
              </w:rPr>
              <w:t>4</w:t>
            </w:r>
          </w:p>
        </w:tc>
        <w:tc>
          <w:tcPr>
            <w:tcW w:w="2768" w:type="dxa"/>
            <w:vAlign w:val="center"/>
          </w:tcPr>
          <w:p>
            <w:pPr>
              <w:widowControl/>
              <w:jc w:val="left"/>
              <w:rPr>
                <w:vertAlign w:val="baseline"/>
              </w:rPr>
            </w:pPr>
            <w:r>
              <w:rPr>
                <w:rFonts w:hint="eastAsia" w:ascii="仿宋_GB2312" w:hAnsi="宋体" w:eastAsia="仿宋_GB2312" w:cs="仿宋_GB2312"/>
                <w:color w:val="000000"/>
                <w:kern w:val="0"/>
                <w:sz w:val="20"/>
                <w:szCs w:val="20"/>
                <w:lang w:val="en-US" w:eastAsia="zh-CN"/>
              </w:rPr>
              <w:t>对</w:t>
            </w:r>
            <w:r>
              <w:rPr>
                <w:rFonts w:hint="default" w:ascii="仿宋_GB2312" w:hAnsi="宋体" w:eastAsia="仿宋_GB2312" w:cs="仿宋_GB2312"/>
                <w:color w:val="000000"/>
                <w:kern w:val="0"/>
                <w:sz w:val="20"/>
                <w:szCs w:val="20"/>
                <w:lang w:val="en-US" w:eastAsia="zh-CN"/>
              </w:rPr>
              <w:t>未按照规定设置或者指定职业卫生管理机构或者组织，或者未配备专职或者兼职的职业卫生管理人员</w:t>
            </w:r>
            <w:r>
              <w:rPr>
                <w:rFonts w:hint="eastAsia" w:ascii="仿宋_GB2312" w:hAnsi="宋体" w:eastAsia="仿宋_GB2312" w:cs="仿宋_GB2312"/>
                <w:color w:val="000000"/>
                <w:kern w:val="0"/>
                <w:sz w:val="20"/>
                <w:szCs w:val="20"/>
                <w:lang w:val="en-US" w:eastAsia="zh-CN"/>
              </w:rPr>
              <w:t>的处罚</w:t>
            </w:r>
          </w:p>
        </w:tc>
        <w:tc>
          <w:tcPr>
            <w:tcW w:w="6300" w:type="dxa"/>
            <w:vAlign w:val="center"/>
          </w:tcPr>
          <w:p>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hint="eastAsia" w:ascii="仿宋_GB2312" w:hAnsi="宋体" w:eastAsia="仿宋_GB2312" w:cs="仿宋_GB2312"/>
                <w:color w:val="000000"/>
                <w:kern w:val="0"/>
                <w:sz w:val="20"/>
                <w:szCs w:val="20"/>
                <w:lang w:val="en-US" w:eastAsia="zh-CN"/>
              </w:rPr>
            </w:pPr>
            <w:r>
              <w:rPr>
                <w:rFonts w:hint="default" w:ascii="仿宋_GB2312" w:hAnsi="宋体" w:eastAsia="仿宋_GB2312" w:cs="仿宋_GB2312"/>
                <w:color w:val="000000"/>
                <w:kern w:val="0"/>
                <w:sz w:val="20"/>
                <w:szCs w:val="20"/>
                <w:lang w:val="en-US" w:eastAsia="zh-CN"/>
              </w:rPr>
              <w:t>《中华人民共和国职业病防治法》第</w:t>
            </w:r>
            <w:r>
              <w:rPr>
                <w:rFonts w:hint="eastAsia" w:ascii="仿宋_GB2312" w:hAnsi="宋体" w:eastAsia="仿宋_GB2312" w:cs="仿宋_GB2312"/>
                <w:color w:val="000000"/>
                <w:kern w:val="0"/>
                <w:sz w:val="20"/>
                <w:szCs w:val="20"/>
                <w:lang w:val="en-US" w:eastAsia="zh-CN"/>
              </w:rPr>
              <w:t>七</w:t>
            </w:r>
            <w:r>
              <w:rPr>
                <w:rFonts w:hint="default" w:ascii="仿宋_GB2312" w:hAnsi="宋体" w:eastAsia="仿宋_GB2312" w:cs="仿宋_GB2312"/>
                <w:color w:val="000000"/>
                <w:kern w:val="0"/>
                <w:sz w:val="20"/>
                <w:szCs w:val="20"/>
                <w:lang w:val="en-US" w:eastAsia="zh-CN"/>
              </w:rPr>
              <w:t>十条第</w:t>
            </w:r>
            <w:r>
              <w:rPr>
                <w:rFonts w:hint="eastAsia" w:ascii="仿宋_GB2312" w:hAnsi="宋体" w:eastAsia="仿宋_GB2312" w:cs="仿宋_GB2312"/>
                <w:color w:val="000000"/>
                <w:kern w:val="0"/>
                <w:sz w:val="20"/>
                <w:szCs w:val="20"/>
                <w:lang w:val="en-US" w:eastAsia="zh-CN"/>
              </w:rPr>
              <w:t>（</w:t>
            </w:r>
            <w:r>
              <w:rPr>
                <w:rFonts w:hint="default" w:ascii="仿宋_GB2312" w:hAnsi="宋体" w:eastAsia="仿宋_GB2312" w:cs="仿宋_GB2312"/>
                <w:color w:val="000000"/>
                <w:kern w:val="0"/>
                <w:sz w:val="20"/>
                <w:szCs w:val="20"/>
                <w:lang w:val="en-US" w:eastAsia="zh-CN"/>
              </w:rPr>
              <w:t>二</w:t>
            </w:r>
            <w:r>
              <w:rPr>
                <w:rFonts w:hint="eastAsia" w:ascii="仿宋_GB2312" w:hAnsi="宋体" w:eastAsia="仿宋_GB2312" w:cs="仿宋_GB2312"/>
                <w:color w:val="000000"/>
                <w:kern w:val="0"/>
                <w:sz w:val="20"/>
                <w:szCs w:val="20"/>
                <w:lang w:val="en-US" w:eastAsia="zh-CN"/>
              </w:rPr>
              <w:t>）</w:t>
            </w:r>
            <w:r>
              <w:rPr>
                <w:rFonts w:hint="default" w:ascii="仿宋_GB2312" w:hAnsi="宋体" w:eastAsia="仿宋_GB2312" w:cs="仿宋_GB2312"/>
                <w:color w:val="000000"/>
                <w:kern w:val="0"/>
                <w:sz w:val="20"/>
                <w:szCs w:val="20"/>
                <w:lang w:val="en-US" w:eastAsia="zh-CN"/>
              </w:rPr>
              <w:t>项</w:t>
            </w:r>
            <w:r>
              <w:rPr>
                <w:rFonts w:hint="eastAsia" w:ascii="仿宋_GB2312" w:hAnsi="宋体" w:eastAsia="仿宋_GB2312" w:cs="仿宋_GB2312"/>
                <w:color w:val="000000"/>
                <w:kern w:val="0"/>
                <w:sz w:val="20"/>
                <w:szCs w:val="20"/>
                <w:lang w:val="en-US" w:eastAsia="zh-CN"/>
              </w:rPr>
              <w:t>：</w:t>
            </w:r>
            <w:r>
              <w:rPr>
                <w:rFonts w:hint="default" w:ascii="仿宋_GB2312" w:hAnsi="宋体" w:eastAsia="仿宋_GB2312" w:cs="仿宋_GB2312"/>
                <w:color w:val="000000"/>
                <w:kern w:val="0"/>
                <w:sz w:val="20"/>
                <w:szCs w:val="20"/>
                <w:lang w:val="en-US" w:eastAsia="zh-CN"/>
              </w:rPr>
              <w:t>未采取本法第二十条规定的职业病防治管理措施的</w:t>
            </w:r>
            <w:r>
              <w:rPr>
                <w:rFonts w:hint="eastAsia" w:ascii="仿宋_GB2312" w:hAnsi="宋体" w:eastAsia="仿宋_GB2312" w:cs="仿宋_GB2312"/>
                <w:color w:val="000000"/>
                <w:kern w:val="0"/>
                <w:sz w:val="20"/>
                <w:szCs w:val="20"/>
                <w:lang w:val="en-US" w:eastAsia="zh-CN"/>
              </w:rPr>
              <w:t>。</w:t>
            </w:r>
          </w:p>
          <w:p>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hint="eastAsia"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罚则:</w:t>
            </w:r>
            <w:r>
              <w:rPr>
                <w:rFonts w:hint="default" w:ascii="仿宋_GB2312" w:hAnsi="宋体" w:eastAsia="仿宋_GB2312" w:cs="仿宋_GB2312"/>
                <w:color w:val="000000"/>
                <w:kern w:val="0"/>
                <w:sz w:val="20"/>
                <w:szCs w:val="20"/>
                <w:lang w:val="en-US" w:eastAsia="zh-CN"/>
              </w:rPr>
              <w:t>由卫生行政部门给予警告，责令限期改正；逾期不改正的，处十万元以下的罚款</w:t>
            </w:r>
            <w:r>
              <w:rPr>
                <w:rFonts w:hint="eastAsia" w:ascii="仿宋_GB2312" w:hAnsi="宋体" w:eastAsia="仿宋_GB2312" w:cs="仿宋_GB2312"/>
                <w:color w:val="000000"/>
                <w:kern w:val="0"/>
                <w:sz w:val="20"/>
                <w:szCs w:val="20"/>
                <w:lang w:val="en-US" w:eastAsia="zh-CN"/>
              </w:rPr>
              <w:t>。</w:t>
            </w:r>
          </w:p>
          <w:p>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hint="default" w:ascii="仿宋_GB2312" w:hAnsi="宋体" w:eastAsia="仿宋_GB2312" w:cs="仿宋_GB2312"/>
                <w:color w:val="000000"/>
                <w:kern w:val="0"/>
                <w:sz w:val="20"/>
                <w:szCs w:val="20"/>
                <w:lang w:val="en-US" w:eastAsia="zh-CN"/>
              </w:rPr>
            </w:pPr>
            <w:r>
              <w:rPr>
                <w:rFonts w:hint="default" w:ascii="仿宋_GB2312" w:hAnsi="宋体" w:eastAsia="仿宋_GB2312" w:cs="仿宋_GB2312"/>
                <w:color w:val="000000"/>
                <w:kern w:val="0"/>
                <w:sz w:val="20"/>
                <w:szCs w:val="20"/>
                <w:lang w:val="en-US" w:eastAsia="zh-CN"/>
              </w:rPr>
              <w:t>《工作场所职业卫生管理规定》第四十八条第</w:t>
            </w:r>
            <w:r>
              <w:rPr>
                <w:rFonts w:hint="eastAsia" w:ascii="仿宋_GB2312" w:hAnsi="宋体" w:eastAsia="仿宋_GB2312" w:cs="仿宋_GB2312"/>
                <w:color w:val="000000"/>
                <w:kern w:val="0"/>
                <w:sz w:val="20"/>
                <w:szCs w:val="20"/>
                <w:lang w:val="en-US" w:eastAsia="zh-CN"/>
              </w:rPr>
              <w:t>（</w:t>
            </w:r>
            <w:r>
              <w:rPr>
                <w:rFonts w:hint="default" w:ascii="仿宋_GB2312" w:hAnsi="宋体" w:eastAsia="仿宋_GB2312" w:cs="仿宋_GB2312"/>
                <w:color w:val="000000"/>
                <w:kern w:val="0"/>
                <w:sz w:val="20"/>
                <w:szCs w:val="20"/>
                <w:lang w:val="en-US" w:eastAsia="zh-CN"/>
              </w:rPr>
              <w:t>二</w:t>
            </w:r>
            <w:r>
              <w:rPr>
                <w:rFonts w:hint="eastAsia" w:ascii="仿宋_GB2312" w:hAnsi="宋体" w:eastAsia="仿宋_GB2312" w:cs="仿宋_GB2312"/>
                <w:color w:val="000000"/>
                <w:kern w:val="0"/>
                <w:sz w:val="20"/>
                <w:szCs w:val="20"/>
                <w:lang w:val="en-US" w:eastAsia="zh-CN"/>
              </w:rPr>
              <w:t>）</w:t>
            </w:r>
            <w:r>
              <w:rPr>
                <w:rFonts w:hint="default" w:ascii="仿宋_GB2312" w:hAnsi="宋体" w:eastAsia="仿宋_GB2312" w:cs="仿宋_GB2312"/>
                <w:color w:val="000000"/>
                <w:kern w:val="0"/>
                <w:sz w:val="20"/>
                <w:szCs w:val="20"/>
                <w:lang w:val="en-US" w:eastAsia="zh-CN"/>
              </w:rPr>
              <w:t>项</w:t>
            </w:r>
            <w:r>
              <w:rPr>
                <w:rFonts w:hint="eastAsia" w:ascii="仿宋_GB2312" w:hAnsi="宋体" w:eastAsia="仿宋_GB2312" w:cs="仿宋_GB2312"/>
                <w:color w:val="000000"/>
                <w:kern w:val="0"/>
                <w:sz w:val="20"/>
                <w:szCs w:val="20"/>
                <w:lang w:val="en-US" w:eastAsia="zh-CN"/>
              </w:rPr>
              <w:t>：</w:t>
            </w:r>
            <w:r>
              <w:rPr>
                <w:rFonts w:hint="default" w:ascii="仿宋_GB2312" w:hAnsi="宋体" w:eastAsia="仿宋_GB2312" w:cs="仿宋_GB2312"/>
                <w:color w:val="000000"/>
                <w:kern w:val="0"/>
                <w:sz w:val="20"/>
                <w:szCs w:val="20"/>
                <w:lang w:val="en-US" w:eastAsia="zh-CN"/>
              </w:rPr>
              <w:t>未按照规定设置或者指定职业卫生管理机构或者组织，或者未配备专职或者兼职的职业卫生管理人员的。</w:t>
            </w:r>
          </w:p>
          <w:p>
            <w:pPr>
              <w:keepNext w:val="0"/>
              <w:keepLines w:val="0"/>
              <w:pageBreakBefore w:val="0"/>
              <w:widowControl/>
              <w:kinsoku/>
              <w:wordWrap/>
              <w:overflowPunct/>
              <w:topLinePunct w:val="0"/>
              <w:autoSpaceDE/>
              <w:autoSpaceDN/>
              <w:bidi w:val="0"/>
              <w:adjustRightInd/>
              <w:snapToGrid/>
              <w:ind w:firstLine="400" w:firstLineChars="200"/>
              <w:jc w:val="left"/>
              <w:textAlignment w:val="auto"/>
              <w:rPr>
                <w:vertAlign w:val="baseline"/>
              </w:rPr>
            </w:pPr>
            <w:r>
              <w:rPr>
                <w:rFonts w:hint="eastAsia" w:ascii="仿宋_GB2312" w:hAnsi="宋体" w:eastAsia="仿宋_GB2312" w:cs="仿宋_GB2312"/>
                <w:color w:val="000000"/>
                <w:kern w:val="0"/>
                <w:sz w:val="20"/>
                <w:szCs w:val="20"/>
                <w:lang w:val="en-US" w:eastAsia="zh-CN"/>
              </w:rPr>
              <w:t>罚则：</w:t>
            </w:r>
            <w:r>
              <w:rPr>
                <w:rFonts w:hint="default" w:ascii="仿宋_GB2312" w:hAnsi="宋体" w:eastAsia="仿宋_GB2312" w:cs="仿宋_GB2312"/>
                <w:color w:val="000000"/>
                <w:kern w:val="0"/>
                <w:sz w:val="20"/>
                <w:szCs w:val="20"/>
                <w:lang w:val="en-US" w:eastAsia="zh-CN"/>
              </w:rPr>
              <w:t>责令限期改正，给予警告；逾期未改正的，处十万元以下的罚款</w:t>
            </w:r>
            <w:r>
              <w:rPr>
                <w:rFonts w:hint="eastAsia" w:ascii="仿宋_GB2312" w:hAnsi="宋体" w:eastAsia="仿宋_GB2312" w:cs="仿宋_GB2312"/>
                <w:color w:val="000000"/>
                <w:kern w:val="0"/>
                <w:sz w:val="20"/>
                <w:szCs w:val="20"/>
                <w:lang w:val="en-US" w:eastAsia="zh-CN"/>
              </w:rPr>
              <w:t>。</w:t>
            </w:r>
          </w:p>
        </w:tc>
        <w:tc>
          <w:tcPr>
            <w:tcW w:w="1759" w:type="dxa"/>
            <w:vAlign w:val="center"/>
          </w:tcPr>
          <w:p>
            <w:pPr>
              <w:widowControl/>
              <w:jc w:val="center"/>
              <w:rPr>
                <w:vertAlign w:val="baseline"/>
              </w:rPr>
            </w:pPr>
            <w:r>
              <w:rPr>
                <w:rFonts w:hint="eastAsia" w:ascii="仿宋_GB2312" w:hAnsi="宋体" w:eastAsia="仿宋_GB2312" w:cs="仿宋_GB2312"/>
                <w:color w:val="000000"/>
                <w:kern w:val="0"/>
                <w:sz w:val="20"/>
                <w:szCs w:val="20"/>
                <w:lang w:val="en-US" w:eastAsia="zh-CN"/>
              </w:rPr>
              <w:t>首违不罚</w:t>
            </w:r>
          </w:p>
        </w:tc>
        <w:tc>
          <w:tcPr>
            <w:tcW w:w="3016" w:type="dxa"/>
            <w:vAlign w:val="center"/>
          </w:tcPr>
          <w:p>
            <w:pPr>
              <w:widowControl/>
              <w:numPr>
                <w:ilvl w:val="0"/>
                <w:numId w:val="0"/>
              </w:numPr>
              <w:jc w:val="left"/>
              <w:rPr>
                <w:rFonts w:hint="default"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1.</w:t>
            </w:r>
            <w:r>
              <w:rPr>
                <w:rFonts w:hint="default" w:ascii="仿宋_GB2312" w:hAnsi="宋体" w:eastAsia="仿宋_GB2312" w:cs="仿宋_GB2312"/>
                <w:color w:val="000000"/>
                <w:kern w:val="0"/>
                <w:sz w:val="20"/>
                <w:szCs w:val="20"/>
                <w:lang w:val="en-US" w:eastAsia="zh-CN"/>
              </w:rPr>
              <w:t>初次违法；</w:t>
            </w:r>
          </w:p>
          <w:p>
            <w:pPr>
              <w:widowControl/>
              <w:numPr>
                <w:ilvl w:val="0"/>
                <w:numId w:val="0"/>
              </w:numPr>
              <w:jc w:val="left"/>
              <w:rPr>
                <w:rFonts w:hint="default" w:ascii="仿宋_GB2312" w:hAnsi="宋体" w:eastAsia="仿宋_GB2312" w:cs="仿宋_GB2312"/>
                <w:color w:val="000000"/>
                <w:kern w:val="0"/>
                <w:sz w:val="20"/>
                <w:szCs w:val="20"/>
                <w:lang w:val="en-US" w:eastAsia="zh-CN"/>
              </w:rPr>
            </w:pPr>
            <w:r>
              <w:rPr>
                <w:rFonts w:hint="default" w:ascii="仿宋_GB2312" w:hAnsi="宋体" w:eastAsia="仿宋_GB2312" w:cs="仿宋_GB2312"/>
                <w:color w:val="000000"/>
                <w:kern w:val="0"/>
                <w:sz w:val="20"/>
                <w:szCs w:val="20"/>
                <w:lang w:val="en-US" w:eastAsia="zh-CN"/>
              </w:rPr>
              <w:t xml:space="preserve">2.危害后果轻微；        </w:t>
            </w:r>
          </w:p>
          <w:p>
            <w:pPr>
              <w:widowControl/>
              <w:numPr>
                <w:ilvl w:val="0"/>
                <w:numId w:val="0"/>
              </w:numPr>
              <w:ind w:left="0" w:leftChars="0" w:firstLine="0" w:firstLineChars="0"/>
              <w:jc w:val="left"/>
              <w:rPr>
                <w:vertAlign w:val="baseline"/>
              </w:rPr>
            </w:pPr>
            <w:r>
              <w:rPr>
                <w:rFonts w:hint="eastAsia" w:ascii="仿宋_GB2312" w:hAnsi="宋体" w:eastAsia="仿宋_GB2312" w:cs="仿宋_GB2312"/>
                <w:color w:val="000000"/>
                <w:kern w:val="0"/>
                <w:sz w:val="20"/>
                <w:szCs w:val="20"/>
                <w:lang w:val="en-US" w:eastAsia="zh-CN"/>
              </w:rPr>
              <w:t>3.在规定期限内及时改正。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trPr>
        <w:tc>
          <w:tcPr>
            <w:tcW w:w="795" w:type="dxa"/>
            <w:vAlign w:val="center"/>
          </w:tcPr>
          <w:p>
            <w:pPr>
              <w:widowControl/>
              <w:jc w:val="center"/>
              <w:rPr>
                <w:rFonts w:hint="default"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5</w:t>
            </w:r>
          </w:p>
        </w:tc>
        <w:tc>
          <w:tcPr>
            <w:tcW w:w="2768" w:type="dxa"/>
            <w:vAlign w:val="center"/>
          </w:tcPr>
          <w:p>
            <w:pPr>
              <w:widowControl/>
              <w:jc w:val="left"/>
              <w:rPr>
                <w:rFonts w:hint="default"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对公共场所</w:t>
            </w:r>
            <w:r>
              <w:rPr>
                <w:rFonts w:hint="eastAsia" w:ascii="仿宋_GB2312" w:hAnsi="宋体" w:eastAsia="仿宋_GB2312" w:cs="仿宋_GB2312"/>
                <w:color w:val="000000"/>
                <w:kern w:val="0"/>
                <w:sz w:val="20"/>
                <w:szCs w:val="20"/>
              </w:rPr>
              <w:t>经营者未建立卫生管理档案的处罚</w:t>
            </w:r>
          </w:p>
        </w:tc>
        <w:tc>
          <w:tcPr>
            <w:tcW w:w="6300" w:type="dxa"/>
            <w:vAlign w:val="center"/>
          </w:tcPr>
          <w:p>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hint="eastAsia" w:ascii="仿宋_GB2312" w:hAnsi="宋体" w:eastAsia="仿宋_GB2312" w:cs="仿宋_GB2312"/>
                <w:color w:val="000000"/>
                <w:kern w:val="0"/>
                <w:sz w:val="20"/>
                <w:szCs w:val="20"/>
                <w:lang w:eastAsia="zh-CN"/>
              </w:rPr>
            </w:pPr>
            <w:r>
              <w:rPr>
                <w:rFonts w:hint="eastAsia" w:ascii="仿宋_GB2312" w:hAnsi="宋体" w:eastAsia="仿宋_GB2312" w:cs="仿宋_GB2312"/>
                <w:color w:val="000000"/>
                <w:kern w:val="0"/>
                <w:sz w:val="20"/>
                <w:szCs w:val="20"/>
              </w:rPr>
              <w:t>《公共场所卫生管理条例实施细则</w:t>
            </w:r>
            <w:r>
              <w:rPr>
                <w:rFonts w:hint="eastAsia" w:ascii="仿宋_GB2312" w:hAnsi="宋体" w:eastAsia="仿宋_GB2312" w:cs="仿宋_GB2312"/>
                <w:color w:val="000000"/>
                <w:kern w:val="0"/>
                <w:sz w:val="20"/>
                <w:szCs w:val="20"/>
                <w:lang w:eastAsia="zh-CN"/>
              </w:rPr>
              <w:t>》</w:t>
            </w:r>
            <w:r>
              <w:rPr>
                <w:rFonts w:hint="eastAsia" w:ascii="仿宋_GB2312" w:hAnsi="宋体" w:eastAsia="仿宋_GB2312" w:cs="仿宋_GB2312"/>
                <w:color w:val="000000"/>
                <w:kern w:val="0"/>
                <w:sz w:val="20"/>
                <w:szCs w:val="20"/>
              </w:rPr>
              <w:t>第三十七条第</w:t>
            </w:r>
            <w:r>
              <w:rPr>
                <w:rFonts w:hint="eastAsia" w:ascii="仿宋_GB2312" w:hAnsi="宋体" w:eastAsia="仿宋_GB2312" w:cs="仿宋_GB2312"/>
                <w:color w:val="000000"/>
                <w:kern w:val="0"/>
                <w:sz w:val="20"/>
                <w:szCs w:val="20"/>
                <w:lang w:eastAsia="zh-CN"/>
              </w:rPr>
              <w:t>（</w:t>
            </w:r>
            <w:r>
              <w:rPr>
                <w:rFonts w:hint="eastAsia" w:ascii="仿宋_GB2312" w:hAnsi="宋体" w:eastAsia="仿宋_GB2312" w:cs="仿宋_GB2312"/>
                <w:color w:val="000000"/>
                <w:kern w:val="0"/>
                <w:sz w:val="20"/>
                <w:szCs w:val="20"/>
              </w:rPr>
              <w:t>一</w:t>
            </w:r>
            <w:r>
              <w:rPr>
                <w:rFonts w:hint="eastAsia" w:ascii="仿宋_GB2312" w:hAnsi="宋体" w:eastAsia="仿宋_GB2312" w:cs="仿宋_GB2312"/>
                <w:color w:val="000000"/>
                <w:kern w:val="0"/>
                <w:sz w:val="20"/>
                <w:szCs w:val="20"/>
                <w:lang w:eastAsia="zh-CN"/>
              </w:rPr>
              <w:t>）</w:t>
            </w:r>
            <w:r>
              <w:rPr>
                <w:rFonts w:hint="eastAsia" w:ascii="仿宋_GB2312" w:hAnsi="宋体" w:eastAsia="仿宋_GB2312" w:cs="仿宋_GB2312"/>
                <w:color w:val="000000"/>
                <w:kern w:val="0"/>
                <w:sz w:val="20"/>
                <w:szCs w:val="20"/>
              </w:rPr>
              <w:t>项：未按照规定建立卫生管理制度、设立卫生管理部门或者配备专（兼）职卫生管理人员，或者未建立卫生管理档案的</w:t>
            </w:r>
            <w:r>
              <w:rPr>
                <w:rFonts w:hint="eastAsia" w:ascii="仿宋_GB2312" w:hAnsi="宋体" w:eastAsia="仿宋_GB2312" w:cs="仿宋_GB2312"/>
                <w:color w:val="000000"/>
                <w:kern w:val="0"/>
                <w:sz w:val="20"/>
                <w:szCs w:val="20"/>
                <w:lang w:eastAsia="zh-CN"/>
              </w:rPr>
              <w:t>。</w:t>
            </w:r>
          </w:p>
          <w:p>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hint="eastAsia"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eastAsia="zh-CN"/>
              </w:rPr>
              <w:t>罚则</w:t>
            </w:r>
            <w:r>
              <w:rPr>
                <w:rFonts w:hint="eastAsia" w:ascii="仿宋_GB2312" w:hAnsi="宋体" w:eastAsia="仿宋_GB2312" w:cs="仿宋_GB2312"/>
                <w:color w:val="000000"/>
                <w:kern w:val="0"/>
                <w:sz w:val="20"/>
                <w:szCs w:val="20"/>
                <w:lang w:val="en-US" w:eastAsia="zh-CN"/>
              </w:rPr>
              <w:t>:</w:t>
            </w:r>
            <w:r>
              <w:rPr>
                <w:rFonts w:hint="eastAsia" w:ascii="仿宋_GB2312" w:hAnsi="宋体" w:eastAsia="仿宋_GB2312" w:cs="仿宋_GB2312"/>
                <w:color w:val="000000"/>
                <w:kern w:val="0"/>
                <w:sz w:val="20"/>
                <w:szCs w:val="20"/>
              </w:rPr>
              <w:t>由县级以上地方人民政府卫生行政部门责令限期改正；逾期不改的，给予警告，并处以一千元以上一万元以下罚款；对拒绝监督的，处以一万元以上三万元以下罚款；情节严重的，可以依法责令停业整顿，直至吊销卫生许可证</w:t>
            </w:r>
            <w:r>
              <w:rPr>
                <w:rFonts w:hint="eastAsia" w:ascii="仿宋_GB2312" w:hAnsi="宋体" w:eastAsia="仿宋_GB2312" w:cs="仿宋_GB2312"/>
                <w:color w:val="000000"/>
                <w:kern w:val="0"/>
                <w:sz w:val="20"/>
                <w:szCs w:val="20"/>
                <w:lang w:eastAsia="zh-CN"/>
              </w:rPr>
              <w:t>。</w:t>
            </w:r>
          </w:p>
        </w:tc>
        <w:tc>
          <w:tcPr>
            <w:tcW w:w="1759" w:type="dxa"/>
            <w:vAlign w:val="center"/>
          </w:tcPr>
          <w:p>
            <w:pPr>
              <w:widowControl/>
              <w:jc w:val="center"/>
              <w:rPr>
                <w:rFonts w:hint="eastAsia"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首违不罚</w:t>
            </w:r>
          </w:p>
        </w:tc>
        <w:tc>
          <w:tcPr>
            <w:tcW w:w="3016" w:type="dxa"/>
            <w:vAlign w:val="center"/>
          </w:tcPr>
          <w:p>
            <w:pPr>
              <w:widowControl/>
              <w:numPr>
                <w:ilvl w:val="0"/>
                <w:numId w:val="0"/>
              </w:numPr>
              <w:jc w:val="left"/>
              <w:rPr>
                <w:rFonts w:hint="default"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1.</w:t>
            </w:r>
            <w:r>
              <w:rPr>
                <w:rFonts w:hint="default" w:ascii="仿宋_GB2312" w:hAnsi="宋体" w:eastAsia="仿宋_GB2312" w:cs="仿宋_GB2312"/>
                <w:color w:val="000000"/>
                <w:kern w:val="0"/>
                <w:sz w:val="20"/>
                <w:szCs w:val="20"/>
                <w:lang w:val="en-US" w:eastAsia="zh-CN"/>
              </w:rPr>
              <w:t>初次违法；</w:t>
            </w:r>
          </w:p>
          <w:p>
            <w:pPr>
              <w:widowControl/>
              <w:numPr>
                <w:ilvl w:val="0"/>
                <w:numId w:val="0"/>
              </w:numPr>
              <w:jc w:val="left"/>
              <w:rPr>
                <w:rFonts w:hint="default" w:ascii="仿宋_GB2312" w:hAnsi="宋体" w:eastAsia="仿宋_GB2312" w:cs="仿宋_GB2312"/>
                <w:color w:val="000000"/>
                <w:kern w:val="0"/>
                <w:sz w:val="20"/>
                <w:szCs w:val="20"/>
                <w:lang w:val="en-US" w:eastAsia="zh-CN"/>
              </w:rPr>
            </w:pPr>
            <w:r>
              <w:rPr>
                <w:rFonts w:hint="default" w:ascii="仿宋_GB2312" w:hAnsi="宋体" w:eastAsia="仿宋_GB2312" w:cs="仿宋_GB2312"/>
                <w:color w:val="000000"/>
                <w:kern w:val="0"/>
                <w:sz w:val="20"/>
                <w:szCs w:val="20"/>
                <w:lang w:val="en-US" w:eastAsia="zh-CN"/>
              </w:rPr>
              <w:t xml:space="preserve">2.危害后果轻微；        </w:t>
            </w:r>
          </w:p>
          <w:p>
            <w:pPr>
              <w:widowControl/>
              <w:numPr>
                <w:ilvl w:val="0"/>
                <w:numId w:val="0"/>
              </w:numPr>
              <w:ind w:left="0" w:leftChars="0" w:firstLine="0" w:firstLineChars="0"/>
              <w:jc w:val="left"/>
              <w:rPr>
                <w:rFonts w:hint="default"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3.在规定期限内及时改正。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trPr>
        <w:tc>
          <w:tcPr>
            <w:tcW w:w="795" w:type="dxa"/>
            <w:vAlign w:val="center"/>
          </w:tcPr>
          <w:p>
            <w:pPr>
              <w:widowControl/>
              <w:jc w:val="center"/>
              <w:rPr>
                <w:rFonts w:hint="default"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6</w:t>
            </w:r>
          </w:p>
        </w:tc>
        <w:tc>
          <w:tcPr>
            <w:tcW w:w="2768" w:type="dxa"/>
            <w:vAlign w:val="center"/>
          </w:tcPr>
          <w:p>
            <w:pPr>
              <w:widowControl/>
              <w:jc w:val="left"/>
              <w:rPr>
                <w:rFonts w:hint="default" w:ascii="仿宋_GB2312" w:hAnsi="宋体" w:eastAsia="仿宋_GB2312" w:cs="仿宋_GB2312"/>
                <w:color w:val="000000"/>
                <w:kern w:val="0"/>
                <w:sz w:val="20"/>
                <w:szCs w:val="20"/>
                <w:lang w:val="en-US" w:eastAsia="zh-CN"/>
              </w:rPr>
            </w:pPr>
            <w:r>
              <w:rPr>
                <w:rFonts w:hint="eastAsia" w:ascii="仿宋_GB2312" w:eastAsia="仿宋_GB2312" w:cs="仿宋_GB2312"/>
                <w:color w:val="000000"/>
                <w:sz w:val="20"/>
                <w:szCs w:val="20"/>
                <w:lang w:val="en-US" w:eastAsia="zh-CN"/>
              </w:rPr>
              <w:t>对</w:t>
            </w:r>
            <w:r>
              <w:rPr>
                <w:rFonts w:hint="eastAsia" w:ascii="仿宋_GB2312" w:hAnsi="宋体" w:eastAsia="仿宋_GB2312" w:cs="仿宋_GB2312"/>
                <w:color w:val="000000"/>
                <w:kern w:val="0"/>
                <w:sz w:val="20"/>
                <w:szCs w:val="20"/>
              </w:rPr>
              <w:t>公共场所经营者</w:t>
            </w:r>
            <w:r>
              <w:rPr>
                <w:rFonts w:hint="eastAsia" w:ascii="仿宋_GB2312" w:eastAsia="仿宋_GB2312" w:cs="仿宋_GB2312"/>
                <w:color w:val="000000"/>
                <w:sz w:val="20"/>
                <w:szCs w:val="20"/>
              </w:rPr>
              <w:t>未按规定公示公共场所卫生检测报告</w:t>
            </w:r>
            <w:r>
              <w:rPr>
                <w:rFonts w:hint="eastAsia" w:ascii="仿宋_GB2312" w:hAnsi="宋体" w:eastAsia="仿宋_GB2312" w:cs="仿宋_GB2312"/>
                <w:color w:val="000000"/>
                <w:kern w:val="0"/>
                <w:sz w:val="20"/>
                <w:szCs w:val="20"/>
              </w:rPr>
              <w:t>的处罚</w:t>
            </w:r>
          </w:p>
        </w:tc>
        <w:tc>
          <w:tcPr>
            <w:tcW w:w="6300" w:type="dxa"/>
            <w:vAlign w:val="center"/>
          </w:tcPr>
          <w:p>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hint="eastAsia" w:ascii="仿宋_GB2312" w:hAnsi="宋体" w:eastAsia="仿宋_GB2312" w:cs="仿宋_GB2312"/>
                <w:color w:val="000000"/>
                <w:kern w:val="0"/>
                <w:sz w:val="20"/>
                <w:szCs w:val="20"/>
                <w:lang w:eastAsia="zh-CN"/>
              </w:rPr>
            </w:pPr>
            <w:r>
              <w:rPr>
                <w:rFonts w:hint="eastAsia" w:ascii="仿宋_GB2312" w:hAnsi="宋体" w:eastAsia="仿宋_GB2312" w:cs="仿宋_GB2312"/>
                <w:color w:val="000000"/>
                <w:kern w:val="0"/>
                <w:sz w:val="20"/>
                <w:szCs w:val="20"/>
              </w:rPr>
              <w:t>《公共场所卫生管理条例实施细则》第三十七条第</w:t>
            </w:r>
            <w:r>
              <w:rPr>
                <w:rFonts w:hint="eastAsia" w:ascii="仿宋_GB2312" w:hAnsi="宋体" w:eastAsia="仿宋_GB2312" w:cs="仿宋_GB2312"/>
                <w:color w:val="000000"/>
                <w:kern w:val="0"/>
                <w:sz w:val="20"/>
                <w:szCs w:val="20"/>
                <w:lang w:eastAsia="zh-CN"/>
              </w:rPr>
              <w:t>（</w:t>
            </w:r>
            <w:r>
              <w:rPr>
                <w:rFonts w:hint="eastAsia" w:ascii="仿宋_GB2312" w:hAnsi="宋体" w:eastAsia="仿宋_GB2312" w:cs="仿宋_GB2312"/>
                <w:color w:val="000000"/>
                <w:kern w:val="0"/>
                <w:sz w:val="20"/>
                <w:szCs w:val="20"/>
              </w:rPr>
              <w:t>八</w:t>
            </w:r>
            <w:r>
              <w:rPr>
                <w:rFonts w:hint="eastAsia" w:ascii="仿宋_GB2312" w:hAnsi="宋体" w:eastAsia="仿宋_GB2312" w:cs="仿宋_GB2312"/>
                <w:color w:val="000000"/>
                <w:kern w:val="0"/>
                <w:sz w:val="20"/>
                <w:szCs w:val="20"/>
                <w:lang w:eastAsia="zh-CN"/>
              </w:rPr>
              <w:t>）</w:t>
            </w:r>
            <w:r>
              <w:rPr>
                <w:rFonts w:hint="eastAsia" w:ascii="仿宋_GB2312" w:hAnsi="宋体" w:eastAsia="仿宋_GB2312" w:cs="仿宋_GB2312"/>
                <w:color w:val="000000"/>
                <w:kern w:val="0"/>
                <w:sz w:val="20"/>
                <w:szCs w:val="20"/>
              </w:rPr>
              <w:t>项：未按照规定公示公共场所卫生许可证、卫生检测结果和卫生信誉度等级的</w:t>
            </w:r>
            <w:r>
              <w:rPr>
                <w:rFonts w:hint="eastAsia" w:ascii="仿宋_GB2312" w:hAnsi="宋体" w:eastAsia="仿宋_GB2312" w:cs="仿宋_GB2312"/>
                <w:color w:val="000000"/>
                <w:kern w:val="0"/>
                <w:sz w:val="20"/>
                <w:szCs w:val="20"/>
                <w:lang w:eastAsia="zh-CN"/>
              </w:rPr>
              <w:t>。</w:t>
            </w:r>
          </w:p>
          <w:p>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hint="eastAsia"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eastAsia="zh-CN"/>
              </w:rPr>
              <w:t>罚则</w:t>
            </w:r>
            <w:r>
              <w:rPr>
                <w:rFonts w:hint="eastAsia" w:ascii="仿宋_GB2312" w:hAnsi="宋体" w:eastAsia="仿宋_GB2312" w:cs="仿宋_GB2312"/>
                <w:color w:val="000000"/>
                <w:kern w:val="0"/>
                <w:sz w:val="20"/>
                <w:szCs w:val="20"/>
                <w:lang w:val="en-US" w:eastAsia="zh-CN"/>
              </w:rPr>
              <w:t>:</w:t>
            </w:r>
            <w:r>
              <w:rPr>
                <w:rFonts w:hint="eastAsia" w:ascii="仿宋_GB2312" w:hAnsi="宋体" w:eastAsia="仿宋_GB2312" w:cs="仿宋_GB2312"/>
                <w:color w:val="000000"/>
                <w:kern w:val="0"/>
                <w:sz w:val="20"/>
                <w:szCs w:val="20"/>
              </w:rPr>
              <w:t>由县级以上地方人民政府卫</w:t>
            </w:r>
            <w:bookmarkStart w:id="0" w:name="_GoBack"/>
            <w:bookmarkEnd w:id="0"/>
            <w:r>
              <w:rPr>
                <w:rFonts w:hint="eastAsia" w:ascii="仿宋_GB2312" w:hAnsi="宋体" w:eastAsia="仿宋_GB2312" w:cs="仿宋_GB2312"/>
                <w:color w:val="000000"/>
                <w:kern w:val="0"/>
                <w:sz w:val="20"/>
                <w:szCs w:val="20"/>
              </w:rPr>
              <w:t>生行政部门责令限期改正；逾期不改的，给予警告，并处以一千元以上一万元以下罚款；对拒绝监督的，处以一万元以上三万元以下罚款；情节严重的，可以依法责令停业整顿，直至吊销卫生许可证</w:t>
            </w:r>
            <w:r>
              <w:rPr>
                <w:rFonts w:hint="eastAsia" w:ascii="仿宋_GB2312" w:hAnsi="宋体" w:eastAsia="仿宋_GB2312" w:cs="仿宋_GB2312"/>
                <w:color w:val="000000"/>
                <w:kern w:val="0"/>
                <w:sz w:val="20"/>
                <w:szCs w:val="20"/>
                <w:lang w:eastAsia="zh-CN"/>
              </w:rPr>
              <w:t>。</w:t>
            </w:r>
          </w:p>
        </w:tc>
        <w:tc>
          <w:tcPr>
            <w:tcW w:w="1759" w:type="dxa"/>
            <w:vAlign w:val="center"/>
          </w:tcPr>
          <w:p>
            <w:pPr>
              <w:widowControl/>
              <w:jc w:val="center"/>
              <w:rPr>
                <w:rFonts w:hint="eastAsia"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首违不罚</w:t>
            </w:r>
          </w:p>
        </w:tc>
        <w:tc>
          <w:tcPr>
            <w:tcW w:w="3016" w:type="dxa"/>
            <w:vAlign w:val="center"/>
          </w:tcPr>
          <w:p>
            <w:pPr>
              <w:widowControl/>
              <w:numPr>
                <w:ilvl w:val="0"/>
                <w:numId w:val="0"/>
              </w:numPr>
              <w:jc w:val="left"/>
              <w:rPr>
                <w:rFonts w:hint="default"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1.</w:t>
            </w:r>
            <w:r>
              <w:rPr>
                <w:rFonts w:hint="default" w:ascii="仿宋_GB2312" w:hAnsi="宋体" w:eastAsia="仿宋_GB2312" w:cs="仿宋_GB2312"/>
                <w:color w:val="000000"/>
                <w:kern w:val="0"/>
                <w:sz w:val="20"/>
                <w:szCs w:val="20"/>
                <w:lang w:val="en-US" w:eastAsia="zh-CN"/>
              </w:rPr>
              <w:t>初次违法；</w:t>
            </w:r>
          </w:p>
          <w:p>
            <w:pPr>
              <w:widowControl/>
              <w:numPr>
                <w:ilvl w:val="0"/>
                <w:numId w:val="0"/>
              </w:numPr>
              <w:jc w:val="left"/>
              <w:rPr>
                <w:rFonts w:hint="default" w:ascii="仿宋_GB2312" w:hAnsi="宋体" w:eastAsia="仿宋_GB2312" w:cs="仿宋_GB2312"/>
                <w:color w:val="000000"/>
                <w:kern w:val="0"/>
                <w:sz w:val="20"/>
                <w:szCs w:val="20"/>
                <w:lang w:val="en-US" w:eastAsia="zh-CN"/>
              </w:rPr>
            </w:pPr>
            <w:r>
              <w:rPr>
                <w:rFonts w:hint="default" w:ascii="仿宋_GB2312" w:hAnsi="宋体" w:eastAsia="仿宋_GB2312" w:cs="仿宋_GB2312"/>
                <w:color w:val="000000"/>
                <w:kern w:val="0"/>
                <w:sz w:val="20"/>
                <w:szCs w:val="20"/>
                <w:lang w:val="en-US" w:eastAsia="zh-CN"/>
              </w:rPr>
              <w:t xml:space="preserve">2.危害后果轻微；        </w:t>
            </w:r>
          </w:p>
          <w:p>
            <w:pPr>
              <w:widowControl/>
              <w:numPr>
                <w:ilvl w:val="0"/>
                <w:numId w:val="0"/>
              </w:numPr>
              <w:ind w:left="0" w:leftChars="0" w:firstLine="0" w:firstLineChars="0"/>
              <w:jc w:val="left"/>
              <w:rPr>
                <w:rFonts w:hint="default"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3.在规定期限内及时改正。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795" w:type="dxa"/>
            <w:vAlign w:val="center"/>
          </w:tcPr>
          <w:p>
            <w:pPr>
              <w:widowControl/>
              <w:jc w:val="center"/>
              <w:rPr>
                <w:vertAlign w:val="baseline"/>
              </w:rPr>
            </w:pPr>
            <w:r>
              <w:rPr>
                <w:rFonts w:hint="eastAsia" w:ascii="仿宋_GB2312" w:hAnsi="宋体" w:eastAsia="仿宋_GB2312" w:cs="仿宋_GB2312"/>
                <w:color w:val="000000"/>
                <w:kern w:val="0"/>
                <w:sz w:val="20"/>
                <w:szCs w:val="20"/>
                <w:lang w:val="en-US" w:eastAsia="zh-CN"/>
              </w:rPr>
              <w:t>7</w:t>
            </w:r>
          </w:p>
        </w:tc>
        <w:tc>
          <w:tcPr>
            <w:tcW w:w="2768" w:type="dxa"/>
            <w:vAlign w:val="center"/>
          </w:tcPr>
          <w:p>
            <w:pPr>
              <w:widowControl/>
              <w:jc w:val="left"/>
              <w:rPr>
                <w:vertAlign w:val="baseline"/>
              </w:rPr>
            </w:pPr>
            <w:r>
              <w:rPr>
                <w:rFonts w:hint="eastAsia" w:ascii="仿宋_GB2312" w:hAnsi="宋体" w:eastAsia="仿宋_GB2312" w:cs="仿宋_GB2312"/>
                <w:color w:val="000000"/>
                <w:kern w:val="0"/>
                <w:sz w:val="20"/>
                <w:szCs w:val="20"/>
              </w:rPr>
              <w:t>对学校照明等环境质量不符合国家有关卫生标准的处罚</w:t>
            </w:r>
          </w:p>
        </w:tc>
        <w:tc>
          <w:tcPr>
            <w:tcW w:w="6300" w:type="dxa"/>
            <w:vAlign w:val="center"/>
          </w:tcPr>
          <w:p>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hint="eastAsia" w:ascii="仿宋_GB2312" w:hAnsi="宋体" w:eastAsia="仿宋_GB2312" w:cs="仿宋_GB2312"/>
                <w:color w:val="000000"/>
                <w:kern w:val="0"/>
                <w:sz w:val="20"/>
                <w:szCs w:val="20"/>
                <w:lang w:eastAsia="zh-CN"/>
              </w:rPr>
            </w:pPr>
            <w:r>
              <w:rPr>
                <w:rFonts w:hint="eastAsia" w:ascii="仿宋_GB2312" w:hAnsi="宋体" w:eastAsia="仿宋_GB2312" w:cs="仿宋_GB2312"/>
                <w:color w:val="000000"/>
                <w:kern w:val="0"/>
                <w:sz w:val="20"/>
                <w:szCs w:val="20"/>
              </w:rPr>
              <w:t>《学校卫生工作条例》第三十三条：违反本条例第六条第一款、第七条和第十条规定的，由卫生行政部门对直接责任单位或者个人给予警告并责令限期改进。情节严重的，可以同时建议教育行政部门给予行政处分。</w:t>
            </w:r>
          </w:p>
        </w:tc>
        <w:tc>
          <w:tcPr>
            <w:tcW w:w="1759" w:type="dxa"/>
            <w:vAlign w:val="center"/>
          </w:tcPr>
          <w:p>
            <w:pPr>
              <w:widowControl/>
              <w:jc w:val="center"/>
              <w:rPr>
                <w:vertAlign w:val="baseline"/>
              </w:rPr>
            </w:pPr>
            <w:r>
              <w:rPr>
                <w:rFonts w:hint="eastAsia" w:ascii="仿宋_GB2312" w:hAnsi="宋体" w:eastAsia="仿宋_GB2312" w:cs="仿宋_GB2312"/>
                <w:color w:val="000000"/>
                <w:kern w:val="0"/>
                <w:sz w:val="20"/>
                <w:szCs w:val="20"/>
              </w:rPr>
              <w:t>轻微不罚</w:t>
            </w:r>
          </w:p>
        </w:tc>
        <w:tc>
          <w:tcPr>
            <w:tcW w:w="3016" w:type="dxa"/>
            <w:vAlign w:val="center"/>
          </w:tcPr>
          <w:p>
            <w:pPr>
              <w:widowControl/>
              <w:jc w:val="left"/>
              <w:rPr>
                <w:rFonts w:hint="eastAsia"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1.违法行为轻微；</w:t>
            </w:r>
          </w:p>
          <w:p>
            <w:pPr>
              <w:widowControl/>
              <w:jc w:val="left"/>
              <w:rPr>
                <w:rFonts w:hint="eastAsia"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2.在规定期限内及时改正；</w:t>
            </w:r>
          </w:p>
          <w:p>
            <w:pPr>
              <w:widowControl/>
              <w:jc w:val="left"/>
              <w:rPr>
                <w:rFonts w:hint="eastAsia" w:eastAsia="仿宋_GB2312"/>
                <w:vertAlign w:val="baseline"/>
                <w:lang w:eastAsia="zh-CN"/>
              </w:rPr>
            </w:pPr>
            <w:r>
              <w:rPr>
                <w:rFonts w:hint="eastAsia" w:ascii="仿宋_GB2312" w:hAnsi="宋体" w:eastAsia="仿宋_GB2312" w:cs="仿宋_GB2312"/>
                <w:color w:val="000000"/>
                <w:kern w:val="0"/>
                <w:sz w:val="20"/>
                <w:szCs w:val="20"/>
              </w:rPr>
              <w:t>3.没有造成危害后果</w:t>
            </w:r>
            <w:r>
              <w:rPr>
                <w:rFonts w:hint="eastAsia" w:ascii="仿宋_GB2312" w:hAnsi="宋体" w:eastAsia="仿宋_GB2312" w:cs="仿宋_GB2312"/>
                <w:color w:val="000000"/>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795" w:type="dxa"/>
            <w:vAlign w:val="center"/>
          </w:tcPr>
          <w:p>
            <w:pPr>
              <w:widowControl/>
              <w:jc w:val="center"/>
              <w:rPr>
                <w:vertAlign w:val="baseline"/>
              </w:rPr>
            </w:pPr>
            <w:r>
              <w:rPr>
                <w:rFonts w:hint="eastAsia" w:ascii="仿宋_GB2312" w:eastAsia="仿宋_GB2312" w:cs="仿宋_GB2312"/>
                <w:color w:val="000000"/>
                <w:sz w:val="20"/>
                <w:szCs w:val="20"/>
                <w:lang w:val="en-US" w:eastAsia="zh-CN"/>
              </w:rPr>
              <w:t>8</w:t>
            </w:r>
          </w:p>
        </w:tc>
        <w:tc>
          <w:tcPr>
            <w:tcW w:w="2768" w:type="dxa"/>
            <w:vAlign w:val="center"/>
          </w:tcPr>
          <w:p>
            <w:pPr>
              <w:widowControl/>
              <w:jc w:val="left"/>
              <w:rPr>
                <w:vertAlign w:val="baseline"/>
              </w:rPr>
            </w:pPr>
            <w:r>
              <w:rPr>
                <w:rFonts w:hint="eastAsia" w:ascii="仿宋_GB2312" w:eastAsia="仿宋_GB2312" w:cs="仿宋_GB2312"/>
                <w:color w:val="000000"/>
                <w:sz w:val="20"/>
                <w:szCs w:val="20"/>
              </w:rPr>
              <w:t>对学生使用的娱乐器具</w:t>
            </w:r>
            <w:r>
              <w:rPr>
                <w:rFonts w:hint="eastAsia" w:ascii="仿宋_GB2312" w:hAnsi="宋体" w:eastAsia="仿宋_GB2312" w:cs="仿宋_GB2312"/>
                <w:color w:val="000000"/>
                <w:kern w:val="0"/>
                <w:sz w:val="20"/>
                <w:szCs w:val="20"/>
              </w:rPr>
              <w:t>不符合国家有关卫生标准的处罚</w:t>
            </w:r>
          </w:p>
        </w:tc>
        <w:tc>
          <w:tcPr>
            <w:tcW w:w="6300" w:type="dxa"/>
            <w:vAlign w:val="center"/>
          </w:tcPr>
          <w:p>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hint="eastAsia"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《学校卫生工作条例》第三十</w:t>
            </w:r>
            <w:r>
              <w:rPr>
                <w:rFonts w:hint="eastAsia" w:ascii="仿宋_GB2312" w:hAnsi="宋体" w:eastAsia="仿宋_GB2312" w:cs="仿宋_GB2312"/>
                <w:color w:val="000000"/>
                <w:kern w:val="0"/>
                <w:sz w:val="20"/>
                <w:szCs w:val="20"/>
                <w:lang w:val="en-US" w:eastAsia="zh-CN"/>
              </w:rPr>
              <w:t>五</w:t>
            </w:r>
            <w:r>
              <w:rPr>
                <w:rFonts w:hint="eastAsia" w:ascii="仿宋_GB2312" w:hAnsi="宋体" w:eastAsia="仿宋_GB2312" w:cs="仿宋_GB2312"/>
                <w:color w:val="000000"/>
                <w:kern w:val="0"/>
                <w:sz w:val="20"/>
                <w:szCs w:val="20"/>
              </w:rPr>
              <w:t>条：违反本条例第二十七条规定的，由卫生行政部门对直接责任单位或者个人给予警告。情节严重的，可以会同工商行政部门没收其不符合国家有关卫生标准的物品，并处以非法所得两倍以下的罚款。</w:t>
            </w:r>
          </w:p>
        </w:tc>
        <w:tc>
          <w:tcPr>
            <w:tcW w:w="1759" w:type="dxa"/>
            <w:vAlign w:val="center"/>
          </w:tcPr>
          <w:p>
            <w:pPr>
              <w:widowControl/>
              <w:jc w:val="center"/>
              <w:rPr>
                <w:vertAlign w:val="baseline"/>
              </w:rPr>
            </w:pPr>
            <w:r>
              <w:rPr>
                <w:rFonts w:hint="eastAsia" w:ascii="仿宋_GB2312" w:hAnsi="宋体" w:eastAsia="仿宋_GB2312" w:cs="仿宋_GB2312"/>
                <w:color w:val="000000"/>
                <w:kern w:val="0"/>
                <w:sz w:val="20"/>
                <w:szCs w:val="20"/>
              </w:rPr>
              <w:t>轻微不罚</w:t>
            </w:r>
          </w:p>
        </w:tc>
        <w:tc>
          <w:tcPr>
            <w:tcW w:w="3016" w:type="dxa"/>
            <w:vAlign w:val="center"/>
          </w:tcPr>
          <w:p>
            <w:pPr>
              <w:widowControl/>
              <w:jc w:val="left"/>
              <w:rPr>
                <w:rFonts w:hint="eastAsia"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1.违法行为轻微；</w:t>
            </w:r>
          </w:p>
          <w:p>
            <w:pPr>
              <w:widowControl/>
              <w:jc w:val="left"/>
              <w:rPr>
                <w:rFonts w:hint="eastAsia"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2.在规定期限内及时改正；</w:t>
            </w:r>
          </w:p>
          <w:p>
            <w:pPr>
              <w:widowControl/>
              <w:jc w:val="left"/>
              <w:rPr>
                <w:rFonts w:hint="eastAsia" w:eastAsia="仿宋_GB2312"/>
                <w:vertAlign w:val="baseline"/>
                <w:lang w:eastAsia="zh-CN"/>
              </w:rPr>
            </w:pPr>
            <w:r>
              <w:rPr>
                <w:rFonts w:hint="eastAsia" w:ascii="仿宋_GB2312" w:hAnsi="宋体" w:eastAsia="仿宋_GB2312" w:cs="仿宋_GB2312"/>
                <w:color w:val="000000"/>
                <w:kern w:val="0"/>
                <w:sz w:val="20"/>
                <w:szCs w:val="20"/>
              </w:rPr>
              <w:t>3.没有造成危害后果</w:t>
            </w:r>
            <w:r>
              <w:rPr>
                <w:rFonts w:hint="eastAsia" w:ascii="仿宋_GB2312" w:hAnsi="宋体" w:eastAsia="仿宋_GB2312" w:cs="仿宋_GB2312"/>
                <w:color w:val="000000"/>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795" w:type="dxa"/>
            <w:vAlign w:val="center"/>
          </w:tcPr>
          <w:p>
            <w:pPr>
              <w:widowControl/>
              <w:jc w:val="center"/>
              <w:rPr>
                <w:rFonts w:hint="default"/>
                <w:vertAlign w:val="baseline"/>
                <w:lang w:val="en-US"/>
              </w:rPr>
            </w:pPr>
            <w:r>
              <w:rPr>
                <w:rFonts w:hint="eastAsia" w:ascii="仿宋_GB2312" w:eastAsia="仿宋_GB2312" w:cs="仿宋_GB2312"/>
                <w:color w:val="000000"/>
                <w:sz w:val="20"/>
                <w:szCs w:val="20"/>
                <w:lang w:val="en-US" w:eastAsia="zh-CN"/>
              </w:rPr>
              <w:t>9</w:t>
            </w:r>
          </w:p>
        </w:tc>
        <w:tc>
          <w:tcPr>
            <w:tcW w:w="2768" w:type="dxa"/>
            <w:vAlign w:val="center"/>
          </w:tcPr>
          <w:p>
            <w:pPr>
              <w:widowControl/>
              <w:jc w:val="left"/>
              <w:rPr>
                <w:vertAlign w:val="baseline"/>
              </w:rPr>
            </w:pPr>
            <w:r>
              <w:rPr>
                <w:rFonts w:hint="eastAsia" w:ascii="仿宋_GB2312" w:hAnsi="宋体" w:eastAsia="仿宋_GB2312" w:cs="仿宋_GB2312"/>
                <w:color w:val="000000"/>
                <w:kern w:val="0"/>
                <w:sz w:val="20"/>
                <w:szCs w:val="20"/>
                <w:lang w:val="en-US" w:eastAsia="zh-CN" w:bidi="ar"/>
              </w:rPr>
              <w:t>对</w:t>
            </w:r>
            <w:r>
              <w:rPr>
                <w:rFonts w:hint="eastAsia" w:ascii="仿宋_GB2312" w:hAnsi="宋体" w:eastAsia="仿宋_GB2312" w:cs="仿宋_GB2312"/>
                <w:color w:val="000000"/>
                <w:kern w:val="0"/>
                <w:sz w:val="20"/>
                <w:szCs w:val="20"/>
                <w:lang w:bidi="ar"/>
              </w:rPr>
              <w:t>未制定、实施本机构护士在职培训计划或者</w:t>
            </w:r>
            <w:r>
              <w:rPr>
                <w:rFonts w:hint="eastAsia" w:ascii="仿宋_GB2312" w:hAnsi="宋体" w:eastAsia="仿宋_GB2312" w:cs="仿宋_GB2312"/>
                <w:color w:val="000000"/>
                <w:kern w:val="0"/>
                <w:sz w:val="20"/>
                <w:szCs w:val="20"/>
                <w:lang w:val="en-US" w:eastAsia="zh-CN" w:bidi="ar"/>
              </w:rPr>
              <w:t>未</w:t>
            </w:r>
            <w:r>
              <w:rPr>
                <w:rFonts w:hint="eastAsia" w:ascii="仿宋_GB2312" w:hAnsi="宋体" w:eastAsia="仿宋_GB2312" w:cs="仿宋_GB2312"/>
                <w:color w:val="000000"/>
                <w:kern w:val="0"/>
                <w:sz w:val="20"/>
                <w:szCs w:val="20"/>
                <w:lang w:bidi="ar"/>
              </w:rPr>
              <w:t>保证护士接受培训</w:t>
            </w:r>
            <w:r>
              <w:rPr>
                <w:rFonts w:hint="eastAsia" w:ascii="仿宋_GB2312" w:hAnsi="宋体" w:eastAsia="仿宋_GB2312" w:cs="仿宋_GB2312"/>
                <w:color w:val="000000"/>
                <w:kern w:val="0"/>
                <w:sz w:val="20"/>
                <w:szCs w:val="20"/>
                <w:lang w:val="en-US" w:eastAsia="zh-CN"/>
              </w:rPr>
              <w:t>的处罚</w:t>
            </w:r>
          </w:p>
        </w:tc>
        <w:tc>
          <w:tcPr>
            <w:tcW w:w="6300" w:type="dxa"/>
            <w:vAlign w:val="center"/>
          </w:tcPr>
          <w:p>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《护士条例》第三十条第（一）项：未制定、实施本机构护士在职培训计划或者</w:t>
            </w:r>
            <w:r>
              <w:rPr>
                <w:rFonts w:hint="eastAsia" w:ascii="仿宋_GB2312" w:hAnsi="宋体" w:eastAsia="仿宋_GB2312" w:cs="仿宋_GB2312"/>
                <w:color w:val="000000"/>
                <w:kern w:val="0"/>
                <w:sz w:val="20"/>
                <w:szCs w:val="20"/>
                <w:lang w:val="en-US" w:eastAsia="zh-CN" w:bidi="ar"/>
              </w:rPr>
              <w:t>未</w:t>
            </w:r>
            <w:r>
              <w:rPr>
                <w:rFonts w:hint="eastAsia" w:ascii="仿宋_GB2312" w:hAnsi="宋体" w:eastAsia="仿宋_GB2312" w:cs="仿宋_GB2312"/>
                <w:color w:val="000000"/>
                <w:kern w:val="0"/>
                <w:sz w:val="20"/>
                <w:szCs w:val="20"/>
                <w:lang w:bidi="ar"/>
              </w:rPr>
              <w:t>保证护士接受培训的。</w:t>
            </w:r>
          </w:p>
          <w:p>
            <w:pPr>
              <w:keepNext w:val="0"/>
              <w:keepLines w:val="0"/>
              <w:pageBreakBefore w:val="0"/>
              <w:widowControl/>
              <w:kinsoku/>
              <w:wordWrap/>
              <w:overflowPunct/>
              <w:topLinePunct w:val="0"/>
              <w:autoSpaceDE/>
              <w:autoSpaceDN/>
              <w:bidi w:val="0"/>
              <w:adjustRightInd/>
              <w:snapToGrid/>
              <w:ind w:firstLine="400" w:firstLineChars="200"/>
              <w:jc w:val="left"/>
              <w:textAlignment w:val="auto"/>
              <w:rPr>
                <w:vertAlign w:val="baseline"/>
              </w:rPr>
            </w:pPr>
            <w:r>
              <w:rPr>
                <w:rFonts w:hint="eastAsia" w:ascii="仿宋_GB2312" w:hAnsi="宋体" w:eastAsia="仿宋_GB2312" w:cs="仿宋_GB2312"/>
                <w:color w:val="000000"/>
                <w:kern w:val="0"/>
                <w:sz w:val="20"/>
                <w:szCs w:val="20"/>
                <w:lang w:eastAsia="zh-CN" w:bidi="ar"/>
              </w:rPr>
              <w:t>罚则：</w:t>
            </w:r>
            <w:r>
              <w:rPr>
                <w:rFonts w:hint="eastAsia" w:ascii="仿宋_GB2312" w:hAnsi="宋体" w:eastAsia="仿宋_GB2312" w:cs="仿宋_GB2312"/>
                <w:color w:val="000000"/>
                <w:kern w:val="0"/>
                <w:sz w:val="20"/>
                <w:szCs w:val="20"/>
                <w:lang w:bidi="ar"/>
              </w:rPr>
              <w:t>医疗卫生机构有下列情形之一的，由县级以上地方人民政府卫生主管部门依据职责分工责令限期改正，给予警告</w:t>
            </w:r>
            <w:r>
              <w:rPr>
                <w:rFonts w:hint="eastAsia" w:ascii="仿宋_GB2312" w:hAnsi="宋体" w:eastAsia="仿宋_GB2312" w:cs="仿宋_GB2312"/>
                <w:color w:val="000000"/>
                <w:kern w:val="0"/>
                <w:sz w:val="20"/>
                <w:szCs w:val="20"/>
                <w:lang w:eastAsia="zh-CN" w:bidi="ar"/>
              </w:rPr>
              <w:t>。</w:t>
            </w:r>
          </w:p>
        </w:tc>
        <w:tc>
          <w:tcPr>
            <w:tcW w:w="1759" w:type="dxa"/>
            <w:vAlign w:val="center"/>
          </w:tcPr>
          <w:p>
            <w:pPr>
              <w:widowControl/>
              <w:jc w:val="center"/>
              <w:rPr>
                <w:vertAlign w:val="baseline"/>
              </w:rPr>
            </w:pPr>
            <w:r>
              <w:rPr>
                <w:rFonts w:hint="eastAsia" w:ascii="仿宋_GB2312" w:hAnsi="宋体" w:eastAsia="仿宋_GB2312" w:cs="仿宋_GB2312"/>
                <w:color w:val="000000"/>
                <w:kern w:val="0"/>
                <w:sz w:val="20"/>
                <w:szCs w:val="20"/>
                <w:highlight w:val="none"/>
                <w:lang w:bidi="ar"/>
              </w:rPr>
              <w:t>首违不罚</w:t>
            </w:r>
          </w:p>
        </w:tc>
        <w:tc>
          <w:tcPr>
            <w:tcW w:w="3016" w:type="dxa"/>
            <w:vAlign w:val="center"/>
          </w:tcPr>
          <w:p>
            <w:pPr>
              <w:widowControl/>
              <w:jc w:val="left"/>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1.初次违法；</w:t>
            </w:r>
          </w:p>
          <w:p>
            <w:pPr>
              <w:widowControl/>
              <w:jc w:val="left"/>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2.危害后果轻微；</w:t>
            </w:r>
          </w:p>
          <w:p>
            <w:pPr>
              <w:widowControl/>
              <w:jc w:val="left"/>
              <w:rPr>
                <w:rFonts w:hint="eastAsia" w:eastAsia="仿宋_GB2312"/>
                <w:vertAlign w:val="baseline"/>
                <w:lang w:eastAsia="zh-CN"/>
              </w:rPr>
            </w:pPr>
            <w:r>
              <w:rPr>
                <w:rFonts w:hint="eastAsia" w:ascii="仿宋_GB2312" w:hAnsi="宋体" w:eastAsia="仿宋_GB2312" w:cs="仿宋_GB2312"/>
                <w:color w:val="000000"/>
                <w:kern w:val="0"/>
                <w:sz w:val="20"/>
                <w:szCs w:val="20"/>
                <w:lang w:eastAsia="zh-CN" w:bidi="ar"/>
              </w:rPr>
              <w:t>3.在规定期限内及时改正。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795" w:type="dxa"/>
            <w:vAlign w:val="center"/>
          </w:tcPr>
          <w:p>
            <w:pPr>
              <w:widowControl/>
              <w:jc w:val="center"/>
              <w:rPr>
                <w:rFonts w:hint="default"/>
                <w:vertAlign w:val="baseline"/>
                <w:lang w:val="en-US"/>
              </w:rPr>
            </w:pPr>
            <w:r>
              <w:rPr>
                <w:rFonts w:hint="eastAsia" w:ascii="仿宋_GB2312" w:eastAsia="仿宋_GB2312" w:cs="仿宋_GB2312"/>
                <w:color w:val="000000"/>
                <w:sz w:val="20"/>
                <w:szCs w:val="20"/>
                <w:lang w:val="en-US" w:eastAsia="zh-CN"/>
              </w:rPr>
              <w:t>10</w:t>
            </w:r>
          </w:p>
        </w:tc>
        <w:tc>
          <w:tcPr>
            <w:tcW w:w="2768" w:type="dxa"/>
            <w:vAlign w:val="center"/>
          </w:tcPr>
          <w:p>
            <w:pPr>
              <w:widowControl/>
              <w:jc w:val="left"/>
              <w:rPr>
                <w:vertAlign w:val="baseline"/>
              </w:rPr>
            </w:pPr>
            <w:r>
              <w:rPr>
                <w:rFonts w:hint="eastAsia" w:ascii="仿宋_GB2312" w:hAnsi="宋体" w:eastAsia="仿宋_GB2312" w:cs="仿宋_GB2312"/>
                <w:color w:val="000000"/>
                <w:kern w:val="0"/>
                <w:sz w:val="20"/>
                <w:szCs w:val="20"/>
                <w:lang w:val="en-US" w:eastAsia="zh-CN" w:bidi="ar"/>
              </w:rPr>
              <w:t>对</w:t>
            </w:r>
            <w:r>
              <w:rPr>
                <w:rFonts w:hint="eastAsia" w:ascii="仿宋_GB2312" w:hAnsi="宋体" w:eastAsia="仿宋_GB2312" w:cs="仿宋_GB2312"/>
                <w:color w:val="000000"/>
                <w:kern w:val="0"/>
                <w:sz w:val="20"/>
                <w:szCs w:val="20"/>
                <w:lang w:bidi="ar"/>
              </w:rPr>
              <w:t>新生儿听力筛查机构听力筛查室环境噪声大于45dB（A）</w:t>
            </w:r>
            <w:r>
              <w:rPr>
                <w:rFonts w:hint="eastAsia" w:ascii="仿宋_GB2312" w:hAnsi="宋体" w:eastAsia="仿宋_GB2312" w:cs="仿宋_GB2312"/>
                <w:color w:val="000000"/>
                <w:kern w:val="0"/>
                <w:sz w:val="20"/>
                <w:szCs w:val="20"/>
                <w:lang w:val="en-US" w:eastAsia="zh-CN"/>
              </w:rPr>
              <w:t>的处罚</w:t>
            </w:r>
          </w:p>
        </w:tc>
        <w:tc>
          <w:tcPr>
            <w:tcW w:w="6300" w:type="dxa"/>
            <w:vAlign w:val="center"/>
          </w:tcPr>
          <w:p>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《新生儿疾病筛查管理办法》第十七条第（一）项：违反《新生儿疾病筛查技术规范》的。</w:t>
            </w:r>
          </w:p>
          <w:p>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hint="eastAsia" w:eastAsia="仿宋_GB2312"/>
                <w:vertAlign w:val="baseline"/>
                <w:lang w:val="en-US" w:eastAsia="zh-CN"/>
              </w:rPr>
            </w:pPr>
            <w:r>
              <w:rPr>
                <w:rFonts w:hint="eastAsia" w:ascii="仿宋_GB2312" w:hAnsi="宋体" w:eastAsia="仿宋_GB2312" w:cs="仿宋_GB2312"/>
                <w:color w:val="000000"/>
                <w:kern w:val="0"/>
                <w:sz w:val="20"/>
                <w:szCs w:val="20"/>
                <w:lang w:eastAsia="zh-CN" w:bidi="ar"/>
              </w:rPr>
              <w:t>罚则：</w:t>
            </w:r>
            <w:r>
              <w:rPr>
                <w:rFonts w:hint="eastAsia" w:ascii="仿宋_GB2312" w:hAnsi="宋体" w:eastAsia="仿宋_GB2312" w:cs="仿宋_GB2312"/>
                <w:color w:val="000000"/>
                <w:kern w:val="0"/>
                <w:sz w:val="20"/>
                <w:szCs w:val="20"/>
                <w:lang w:bidi="ar"/>
              </w:rPr>
              <w:t>由县级以上人民政府卫生行政部门责令改正，通报批评，给予警告</w:t>
            </w:r>
            <w:r>
              <w:rPr>
                <w:rFonts w:hint="eastAsia" w:ascii="仿宋_GB2312" w:hAnsi="宋体" w:eastAsia="仿宋_GB2312" w:cs="仿宋_GB2312"/>
                <w:color w:val="000000"/>
                <w:kern w:val="0"/>
                <w:sz w:val="20"/>
                <w:szCs w:val="20"/>
                <w:lang w:eastAsia="zh-CN" w:bidi="ar"/>
              </w:rPr>
              <w:t>。</w:t>
            </w:r>
          </w:p>
        </w:tc>
        <w:tc>
          <w:tcPr>
            <w:tcW w:w="1759" w:type="dxa"/>
            <w:vAlign w:val="center"/>
          </w:tcPr>
          <w:p>
            <w:pPr>
              <w:widowControl/>
              <w:jc w:val="center"/>
              <w:rPr>
                <w:vertAlign w:val="baseline"/>
              </w:rPr>
            </w:pPr>
            <w:r>
              <w:rPr>
                <w:rFonts w:hint="eastAsia" w:ascii="仿宋_GB2312" w:hAnsi="宋体" w:eastAsia="仿宋_GB2312" w:cs="仿宋_GB2312"/>
                <w:color w:val="000000"/>
                <w:kern w:val="0"/>
                <w:sz w:val="20"/>
                <w:szCs w:val="20"/>
                <w:lang w:bidi="ar"/>
              </w:rPr>
              <w:t>首违不罚</w:t>
            </w:r>
          </w:p>
        </w:tc>
        <w:tc>
          <w:tcPr>
            <w:tcW w:w="3016" w:type="dxa"/>
            <w:vAlign w:val="center"/>
          </w:tcPr>
          <w:p>
            <w:pPr>
              <w:widowControl/>
              <w:jc w:val="left"/>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1.初次违法；</w:t>
            </w:r>
          </w:p>
          <w:p>
            <w:pPr>
              <w:widowControl/>
              <w:jc w:val="left"/>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2.危害后果轻微；</w:t>
            </w:r>
          </w:p>
          <w:p>
            <w:pPr>
              <w:widowControl/>
              <w:jc w:val="left"/>
              <w:rPr>
                <w:rFonts w:hint="eastAsia" w:eastAsia="仿宋_GB2312"/>
                <w:vertAlign w:val="baseline"/>
                <w:lang w:eastAsia="zh-CN"/>
              </w:rPr>
            </w:pPr>
            <w:r>
              <w:rPr>
                <w:rFonts w:hint="eastAsia" w:ascii="仿宋_GB2312" w:hAnsi="宋体" w:eastAsia="仿宋_GB2312" w:cs="仿宋_GB2312"/>
                <w:color w:val="000000"/>
                <w:kern w:val="0"/>
                <w:sz w:val="20"/>
                <w:szCs w:val="20"/>
                <w:lang w:bidi="ar"/>
              </w:rPr>
              <w:t>3.在规定期限内及时改正</w:t>
            </w:r>
            <w:r>
              <w:rPr>
                <w:rFonts w:hint="eastAsia" w:ascii="仿宋_GB2312" w:hAnsi="宋体" w:eastAsia="仿宋_GB2312" w:cs="仿宋_GB2312"/>
                <w:color w:val="000000"/>
                <w:kern w:val="0"/>
                <w:sz w:val="20"/>
                <w:szCs w:val="20"/>
                <w:lang w:eastAsia="zh-CN" w:bidi="ar"/>
              </w:rPr>
              <w:t>。</w:t>
            </w:r>
          </w:p>
        </w:tc>
      </w:tr>
    </w:tbl>
    <w:p/>
    <w:sectPr>
      <w:pgSz w:w="16838" w:h="11906" w:orient="landscape"/>
      <w:pgMar w:top="1803" w:right="1440" w:bottom="1803" w:left="1440" w:header="851" w:footer="992" w:gutter="0"/>
      <w:pgBorders>
        <w:top w:val="none" w:sz="0" w:space="0"/>
        <w:left w:val="none" w:sz="0" w:space="0"/>
        <w:bottom w:val="none" w:sz="0" w:space="0"/>
        <w:right w:val="none" w:sz="0" w:space="0"/>
      </w:pgBorders>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JhYjQ3NWY2ZjE0M2U3MjE3NWU2YTIxYTQ1NWNmNDAifQ=="/>
  </w:docVars>
  <w:rsids>
    <w:rsidRoot w:val="33F92CED"/>
    <w:rsid w:val="000A7E3C"/>
    <w:rsid w:val="00620426"/>
    <w:rsid w:val="00BF6825"/>
    <w:rsid w:val="00E92F6B"/>
    <w:rsid w:val="04FD08EC"/>
    <w:rsid w:val="09515DFE"/>
    <w:rsid w:val="0CF140C8"/>
    <w:rsid w:val="18FE652B"/>
    <w:rsid w:val="1DFD241A"/>
    <w:rsid w:val="1E091F6A"/>
    <w:rsid w:val="27046FF2"/>
    <w:rsid w:val="285909F7"/>
    <w:rsid w:val="33F92CED"/>
    <w:rsid w:val="38C30EAC"/>
    <w:rsid w:val="3A507447"/>
    <w:rsid w:val="3C386E5A"/>
    <w:rsid w:val="3FAC6431"/>
    <w:rsid w:val="4AE33B04"/>
    <w:rsid w:val="4AEB7FD0"/>
    <w:rsid w:val="4E171D4E"/>
    <w:rsid w:val="52380EB6"/>
    <w:rsid w:val="58527745"/>
    <w:rsid w:val="5F9E15AB"/>
    <w:rsid w:val="60F56913"/>
    <w:rsid w:val="61334923"/>
    <w:rsid w:val="6E080427"/>
    <w:rsid w:val="72183C92"/>
    <w:rsid w:val="739569E8"/>
    <w:rsid w:val="79DE5E3A"/>
    <w:rsid w:val="7BFF65C5"/>
    <w:rsid w:val="7F1D005F"/>
    <w:rsid w:val="7F676934"/>
    <w:rsid w:val="B7BBC9D2"/>
    <w:rsid w:val="EB9E79EA"/>
    <w:rsid w:val="FBF8BA00"/>
    <w:rsid w:val="FFDFC73F"/>
    <w:rsid w:val="FFF9F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customStyle="1" w:styleId="7">
    <w:name w:val="font21"/>
    <w:basedOn w:val="5"/>
    <w:qFormat/>
    <w:uiPriority w:val="0"/>
    <w:rPr>
      <w:rFonts w:hint="eastAsia" w:ascii="仿宋" w:hAnsi="仿宋" w:eastAsia="仿宋" w:cs="仿宋"/>
      <w:color w:val="000000"/>
      <w:sz w:val="28"/>
      <w:szCs w:val="28"/>
      <w:u w:val="none"/>
    </w:rPr>
  </w:style>
  <w:style w:type="character" w:customStyle="1" w:styleId="8">
    <w:name w:val="font31"/>
    <w:basedOn w:val="5"/>
    <w:qFormat/>
    <w:uiPriority w:val="0"/>
    <w:rPr>
      <w:rFonts w:hint="eastAsia" w:ascii="仿宋" w:hAnsi="仿宋" w:eastAsia="仿宋" w:cs="仿宋"/>
      <w:color w:val="000000"/>
      <w:sz w:val="28"/>
      <w:szCs w:val="28"/>
      <w:u w:val="none"/>
    </w:rPr>
  </w:style>
  <w:style w:type="character" w:customStyle="1" w:styleId="9">
    <w:name w:val="font01"/>
    <w:basedOn w:val="5"/>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2060</Words>
  <Characters>2095</Characters>
  <Lines>2</Lines>
  <Paragraphs>1</Paragraphs>
  <TotalTime>2</TotalTime>
  <ScaleCrop>false</ScaleCrop>
  <LinksUpToDate>false</LinksUpToDate>
  <CharactersWithSpaces>2143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2022-08-11T19:10:00Z</dcterms:created>
  <dc:creator>曹景雯</dc:creator>
  <cp:lastModifiedBy>Lenovo</cp:lastModifiedBy>
  <cp:lastPrinted>2023-06-25T08:00:00Z</cp:lastPrinted>
  <dcterms:modified xsi:type="dcterms:W3CDTF">2023-11-01T00:00:22Z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58A3412B2E3842708ADA097497062024_12</vt:lpwstr>
  </property>
</Properties>
</file>